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제7장-입주-상태-아카이빙-및-육안-하자-채증-서비스-면책-동의약관"/>
    <w:p>
      <w:pPr>
        <w:pStyle w:val="Heading1"/>
      </w:pPr>
      <w:r>
        <w:t xml:space="preserve">제7장 (입주 상태 아카이빙 및 육안 하자 채증 서비스 면책 동의약관)</w:t>
      </w:r>
    </w:p>
    <w:bookmarkStart w:id="20" w:name="제1조-서비스의-정의-및-목적"/>
    <w:p>
      <w:pPr>
        <w:pStyle w:val="Heading3"/>
      </w:pPr>
      <w:r>
        <w:t xml:space="preserve">제1조 (서비스의 정의 및 목적)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입주 상태 아카이빙 및 육안 하자 채증 서비스</w:t>
      </w:r>
      <w:r>
        <w:t xml:space="preserve">”</w:t>
      </w:r>
      <w:r>
        <w:t xml:space="preserve">(이하</w:t>
      </w:r>
      <w:r>
        <w:t xml:space="preserve"> </w:t>
      </w:r>
      <w:r>
        <w:t xml:space="preserve">“</w:t>
      </w:r>
      <w:r>
        <w:t xml:space="preserve">본 서비스</w:t>
      </w:r>
      <w:r>
        <w:t xml:space="preserve">”</w:t>
      </w:r>
      <w:r>
        <w:t xml:space="preserve">)라 함은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지정한 스태프(지산학 연계 서포터즈 등을 포함)가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(임차인)의 입주 전 또는 퇴거 시 해당 매물 현장을 직접 방문하여 물리적 현황을 사진, 동영상 등의 디지털 미디어 형태로 기록하고 보존하는 행위 및 이에 따라 발급되는 리포트 서비스를 의미합니다.</w:t>
      </w:r>
    </w:p>
    <w:p>
      <w:pPr>
        <w:pStyle w:val="BodyText"/>
      </w:pPr>
      <w:r>
        <w:t xml:space="preserve">② 본 서비스의 목적은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이 대한민국 내 매물에 입주할 당시의 초기 상태를 객관적으로 기록함으로써, 향후 임대차 계약 종료 및 퇴거 시 발생할 수 있는 임대인(소유주)과의 원상복구 분쟁을 예방하고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자구적 증빙 데이터 확보를 보조하는 데 있습니다.</w:t>
      </w:r>
    </w:p>
    <w:p>
      <w:pPr>
        <w:pStyle w:val="BodyText"/>
      </w:pPr>
      <w:r>
        <w:t xml:space="preserve">③ 본 서비스를 통해 수합된 모든 기록물 및 리포트(이하</w:t>
      </w:r>
      <w:r>
        <w:t xml:space="preserve"> </w:t>
      </w:r>
      <w:r>
        <w:t xml:space="preserve">“</w:t>
      </w:r>
      <w:r>
        <w:t xml:space="preserve">아카이빙 데이터</w:t>
      </w:r>
      <w:r>
        <w:t xml:space="preserve">”</w:t>
      </w:r>
      <w:r>
        <w:t xml:space="preserve">)는 임대인과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 </w:t>
      </w:r>
      <w:r>
        <w:t xml:space="preserve">간의 분쟁 발생 시 법적 판단을 돕기 위한 ’객관적 참고 자료’로만 기능하며,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당해 매물의 완벽성을 보증하거나 법적 계약 관계에 직접 개입하는 것을 의미하지 않습니다.</w:t>
      </w:r>
    </w:p>
    <w:bookmarkEnd w:id="20"/>
    <w:bookmarkStart w:id="21" w:name="제2조-채증-범위-및-기술적-한계-규정"/>
    <w:p>
      <w:pPr>
        <w:pStyle w:val="Heading3"/>
      </w:pPr>
      <w:r>
        <w:t xml:space="preserve">제2조 (채증 범위 및 기술적 한계 규정)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제공하는 본 서비스는 현장 스태프가 입주 당시 일반적인 수준에서 별도의 전문 장비 없이 사람의 눈으로 직접 확인할 수 있는 외관상의 상태를 기록하는 ’육안 진단(Visual Inspection)’에 한정됩니다. 육안 진단의 범위는 표면적인 마감재의 파손, 벽면 전반의 오염, 기본 가구 및 옵션 시설물의 구비 여부 등 외형적 식별이 가능한 항목으로 제한됩니다.</w:t>
      </w:r>
    </w:p>
    <w:p>
      <w:pPr>
        <w:pStyle w:val="BodyText"/>
      </w:pPr>
      <w:r>
        <w:t xml:space="preserve">② 다음 각 호와 같이 육안으로 즉시 식별이 불가능하거나 건물 구조 내부에 잠재된 결함은 본 서비스의 조사 및 채증 대상에서 제외되며,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이에 대한 조사 의무를 지지 않습니다.</w:t>
      </w:r>
    </w:p>
    <w:p>
      <w:pPr>
        <w:numPr>
          <w:ilvl w:val="0"/>
          <w:numId w:val="1001"/>
        </w:numPr>
      </w:pPr>
      <w:r>
        <w:t xml:space="preserve">마감재 이면 또는 벽면 내부의 누수 및 결로 현상</w:t>
      </w:r>
    </w:p>
    <w:p>
      <w:pPr>
        <w:numPr>
          <w:ilvl w:val="0"/>
          <w:numId w:val="1001"/>
        </w:numPr>
      </w:pPr>
      <w:r>
        <w:t xml:space="preserve">보일러 배관, 수도관, 정수 시스템 등 내부 인프라의 노후 및 기능적 결함</w:t>
      </w:r>
    </w:p>
    <w:p>
      <w:pPr>
        <w:numPr>
          <w:ilvl w:val="0"/>
          <w:numId w:val="1001"/>
        </w:numPr>
      </w:pPr>
      <w:r>
        <w:t xml:space="preserve">도배지 또는 고정 가구 뒤편에 숨겨져 있어 가구 이동 없이는 식별이 불가능한 곰팡이 및 균열</w:t>
      </w:r>
    </w:p>
    <w:p>
      <w:pPr>
        <w:numPr>
          <w:ilvl w:val="0"/>
          <w:numId w:val="1001"/>
        </w:numPr>
      </w:pPr>
      <w:r>
        <w:t xml:space="preserve">수압의 미세한 변화, 외풍 차단 성능, 계절성 소음 및 층간소음 등 일정 시간 이상 거주해야 확인 가능한 거주 환경적 요소</w:t>
      </w:r>
    </w:p>
    <w:p>
      <w:pPr>
        <w:numPr>
          <w:ilvl w:val="0"/>
          <w:numId w:val="1001"/>
        </w:numPr>
      </w:pPr>
      <w:r>
        <w:t xml:space="preserve">기타 건축물대장상 확인되지 않는 건물의 내재적 공법 결함</w:t>
      </w:r>
    </w:p>
    <w:p>
      <w:pPr>
        <w:pStyle w:val="FirstParagraph"/>
      </w:pPr>
      <w:r>
        <w:t xml:space="preserve">③ 본 조는 육안 확인의 범위 및 내재적 결함에 대한 조사 의무의 한계에 관하여 플랫폼의 모든 개별 약관에 공통으로 적용되는 기본 조항입니다.</w:t>
      </w:r>
    </w:p>
    <w:bookmarkEnd w:id="21"/>
    <w:bookmarkStart w:id="22" w:name="제3조-회사의-책임-한계-및-면책"/>
    <w:p>
      <w:pPr>
        <w:pStyle w:val="Heading3"/>
      </w:pPr>
      <w:r>
        <w:t xml:space="preserve">제3조 (회사의 책임 한계 및 면책)</w:t>
      </w:r>
    </w:p>
    <w:p>
      <w:pPr>
        <w:pStyle w:val="FirstParagraph"/>
      </w:pPr>
      <w:r>
        <w:t xml:space="preserve">① 본 서비스 제공 당시 현장 스태프의 육안으로 발견 및 기록되지 아니하였으나,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입주 이후 거주 과정에서 새로이 발견되거나 발생한 매물의 하자에 대하여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는 어떠한 보수, 정비, 환불 또는 손해배상 책임도 지지 않습니다. 또한, 미확인 하자로 인하여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에게 발생한 물질적 손실이나 정신적 손해에 대해서도 면책됩니다.</w:t>
      </w:r>
    </w:p>
    <w:p>
      <w:pPr>
        <w:pStyle w:val="BodyText"/>
      </w:pPr>
      <w:r>
        <w:t xml:space="preserve">②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발급한 아카이빙 데이터가 존재함에도 불구하고, 임대인이 주관적인 하자나 추가 파손을 주장하며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에게 보증금 반환을 거부하거나 원상복구 비용을 과다 청구하는 등 개별 임대차 분쟁이 심화되는 경우, 임대인의 계약 불이행이나 파산 리스크에 대한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의 연대책임 면책에 관하여는 「원격 퇴거 지원 서비스 이용약관」 제3조를 준용합니다.</w:t>
      </w:r>
    </w:p>
    <w:p>
      <w:pPr>
        <w:pStyle w:val="BodyText"/>
      </w:pPr>
      <w:r>
        <w:t xml:space="preserve">③ 전문자격 배제 및 면책에 관하여는 「대면 통역 및 안내 서포트 서비스 이용약관」 제2조 제3항을 준용합니다.</w:t>
      </w:r>
    </w:p>
    <w:p>
      <w:pPr>
        <w:pStyle w:val="BodyText"/>
      </w:pPr>
      <w:r>
        <w:t xml:space="preserve">④ 크로스보더 결제·환율 변동·DCC 수수료 면책에 관하여는 「외환 환율 변동에 따른 대금 정산 차액 손실 면책 조항」 전문을 준용합니다.</w:t>
      </w:r>
    </w:p>
    <w:p>
      <w:pPr>
        <w:pStyle w:val="BodyText"/>
      </w:pPr>
      <w:r>
        <w:t xml:space="preserve">⑤ 통신판매중개자 지위 및 면책에 관하여는 「회원가입 및 플랫폼 이용 기본 약관」 제1장 제2조를 준용합니다.</w:t>
      </w:r>
    </w:p>
    <w:bookmarkEnd w:id="22"/>
    <w:bookmarkStart w:id="23" w:name="제4조-이용자의-확인-및-동의-의무"/>
    <w:p>
      <w:pPr>
        <w:pStyle w:val="Heading3"/>
      </w:pPr>
      <w:r>
        <w:t xml:space="preserve">제4조 (이용자의 확인 및 동의 의무)</w:t>
      </w:r>
    </w:p>
    <w:p>
      <w:pPr>
        <w:pStyle w:val="FirstParagraph"/>
      </w:pPr>
      <w:r>
        <w:t xml:space="preserve">①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은 본 서비스를 통해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송부한 아카이빙 결과물(디지털 리포트 및 미디어 파일)을 수령하는 즉시 그 내용을 직접 확인하여야 합니다. 결과물에 누락, 왜곡 또는 사실과 다른 오류가 있다고 판단되는 경우,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은 리포트 송부일 및 입주 후 3일 이내에 플랫폼 고객센터를 통해 구체적인 증빙을 첨부하여 이의를 제기하여야 합니다.</w:t>
      </w:r>
    </w:p>
    <w:p>
      <w:pPr>
        <w:pStyle w:val="BodyText"/>
      </w:pPr>
      <w:r>
        <w:t xml:space="preserve">② 전항의 이의제기 기한(입주 후 3일) 내에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으로부터 별도의 서면 이의가 접수되지 아니한 경우,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은</w:t>
      </w:r>
      <w:r>
        <w:t xml:space="preserve"> </w:t>
      </w:r>
      <w:r>
        <w:t xml:space="preserve">“</w:t>
      </w:r>
      <w:r>
        <w:t xml:space="preserve">회사</w:t>
      </w:r>
      <w:r>
        <w:t xml:space="preserve">”</w:t>
      </w:r>
      <w:r>
        <w:t xml:space="preserve">가 제공한 아카이빙 데이터의 객관적 무결성과 사실관계에 동의한 것으로 간주합니다.</w:t>
      </w:r>
    </w:p>
    <w:p>
      <w:pPr>
        <w:pStyle w:val="BodyText"/>
      </w:pPr>
      <w:r>
        <w:t xml:space="preserve">③ 본 서비스는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의 분쟁 예방을 돕는 기록 보조 인프라일 뿐이며, 대한민국 민법 및 당해 임대차 계약의 원천 조항에 따른 매물 반환 시의 원상복구 의무, 선량한 관리자의 주의 의무(선관주의 의무), 그리고 최종 상태 확인에 대한 법적 책임은 전적으로 계약 당사자인</w:t>
      </w:r>
      <w:r>
        <w:t xml:space="preserve"> </w:t>
      </w:r>
      <w:r>
        <w:t xml:space="preserve">“</w:t>
      </w:r>
      <w:r>
        <w:t xml:space="preserve">회원</w:t>
      </w:r>
      <w:r>
        <w:t xml:space="preserve">”</w:t>
      </w:r>
      <w:r>
        <w:t xml:space="preserve">(임차인) 본인에게 있음을 확약합니다.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val="000000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2026-09-03T07:29:02Z</dcterms:created>
  <dcterms:modified xsi:type="dcterms:W3CDTF">2026-09-03T07:29:02Z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