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제2편-토스-에스크로-결제-및-정산-이용"/>
    <w:p>
      <w:pPr>
        <w:pStyle w:val="Heading1"/>
      </w:pPr>
      <w:r>
        <w:t xml:space="preserve">제2편 토스 에스크로 결제 및 정산 이용</w:t>
      </w:r>
    </w:p>
    <w:bookmarkStart w:id="33" w:name="제1장-토스-에스크로-결제-및-정산-이용약관"/>
    <w:p>
      <w:pPr>
        <w:pStyle w:val="Heading2"/>
      </w:pPr>
      <w:r>
        <w:t xml:space="preserve">제1장 토스 에스크로 결제 및 정산 이용약관</w:t>
      </w:r>
    </w:p>
    <w:bookmarkStart w:id="20" w:name="제1조-목적-및-용어의-정의"/>
    <w:p>
      <w:pPr>
        <w:pStyle w:val="Heading3"/>
      </w:pPr>
      <w:r>
        <w:t xml:space="preserve">제1조 (목적 및 용어의 정의)</w:t>
      </w:r>
    </w:p>
    <w:p>
      <w:pPr>
        <w:pStyle w:val="FirstParagraph"/>
      </w:pPr>
      <w:r>
        <w:t xml:space="preserve">① 본 약관은 주식회사 나루(이하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)가 제공하는 플랫폼 내에서 토스페이먼츠 주식회사의 전자결제 및 결제대금예치(이하</w:t>
      </w:r>
      <w:r>
        <w:t xml:space="preserve"> </w:t>
      </w:r>
      <w:r>
        <w:t xml:space="preserve">“</w:t>
      </w:r>
      <w:r>
        <w:t xml:space="preserve">토스 에스크로</w:t>
      </w:r>
      <w:r>
        <w:t xml:space="preserve">”</w:t>
      </w:r>
      <w:r>
        <w:t xml:space="preserve">) 시스템을 이용하여 내·외국인 유저(이하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)와 임대인(또는 파트너 공인중개사) 간의 안전한 부동산 거래 대금 보관 및 정산을 수행함에 있어 필요한 회사와 회원 간의 권리, 의무 및 책임사항을 규정함을 목적으로 합니다.</w:t>
      </w:r>
    </w:p>
    <w:p>
      <w:pPr>
        <w:pStyle w:val="BodyText"/>
      </w:pPr>
      <w:r>
        <w:t xml:space="preserve">② 본 약관에서 사용하는 용어의 정의는 다음과 같습니다.</w:t>
      </w:r>
    </w:p>
    <w:p>
      <w:pPr>
        <w:numPr>
          <w:ilvl w:val="0"/>
          <w:numId w:val="1001"/>
        </w:numPr>
      </w:pPr>
      <w:r>
        <w:t xml:space="preserve">“</w:t>
      </w:r>
      <w:r>
        <w:t xml:space="preserve">에스크로 결제</w:t>
      </w:r>
      <w:r>
        <w:t xml:space="preserve">”</w:t>
      </w:r>
      <w:r>
        <w:t xml:space="preserve">: 회원이 플랫폼을 통해 결제한 가계약금 및 선납금을 임대인에게 즉시 지급하지 않고, 안전 결제 조건이 성취될 때까지 제3의 예치 계좌에 보관하는 서비스를 말합니다.</w:t>
      </w:r>
    </w:p>
    <w:p>
      <w:pPr>
        <w:numPr>
          <w:ilvl w:val="0"/>
          <w:numId w:val="1001"/>
        </w:numPr>
      </w:pPr>
      <w:r>
        <w:t xml:space="preserve">“</w:t>
      </w:r>
      <w:r>
        <w:t xml:space="preserve">가계약금(또는 선납금)</w:t>
      </w:r>
      <w:r>
        <w:t xml:space="preserve">”</w:t>
      </w:r>
      <w:r>
        <w:t xml:space="preserve">: 해외 또는 국내 체류 중인 회원이 특정 부동산 매물을 선점하거나 임대차 계약의 효력을 발생시키기 위해 플랫폼을 통해 사전 납부하는 증약금 목적의 자금을 말합니다.</w:t>
      </w:r>
    </w:p>
    <w:p>
      <w:pPr>
        <w:numPr>
          <w:ilvl w:val="0"/>
          <w:numId w:val="1001"/>
        </w:numPr>
      </w:pPr>
      <w:r>
        <w:t xml:space="preserve">“</w:t>
      </w:r>
      <w:r>
        <w:t xml:space="preserve">보관 기간</w:t>
      </w:r>
      <w:r>
        <w:t xml:space="preserve">”</w:t>
      </w:r>
      <w:r>
        <w:t xml:space="preserve">: 회원의 결제 완료 시점부터 본 약관 제7조에서 정한 정산(지급) 조건이 충족되거나 계약 취소에 따른 반환이 확정될 때까지 대금을 안전하게 예치하는 기간을 의미합니다.</w:t>
      </w:r>
    </w:p>
    <w:p>
      <w:pPr>
        <w:numPr>
          <w:ilvl w:val="0"/>
          <w:numId w:val="1001"/>
        </w:numPr>
      </w:pPr>
      <w:r>
        <w:t xml:space="preserve">“</w:t>
      </w:r>
      <w:r>
        <w:t xml:space="preserve">정산</w:t>
      </w:r>
      <w:r>
        <w:t xml:space="preserve">”</w:t>
      </w:r>
      <w:r>
        <w:t xml:space="preserve">: 보관 기간이 종료되고 안전 결제 조건이 성취되었음이 증빙되었을 때, 회사가 보관 중인 대금을 임대인 또는 파트너 공인중개사의 지정 계좌로 지급 처리하는 일련의 절차를 말합니다.</w:t>
      </w:r>
    </w:p>
    <w:bookmarkEnd w:id="20"/>
    <w:bookmarkStart w:id="21" w:name="제2조-회사의-제한적-수납-대리인-지위"/>
    <w:p>
      <w:pPr>
        <w:pStyle w:val="Heading3"/>
      </w:pPr>
      <w:r>
        <w:t xml:space="preserve">제2조 (회사의 제한적 수납 대리인 지위)</w:t>
      </w:r>
    </w:p>
    <w:p>
      <w:pPr>
        <w:pStyle w:val="FirstParagraph"/>
      </w:pPr>
      <w:r>
        <w:t xml:space="preserve">① 회사는 임대인(또는 임대인으로부터 적법하게 위임받은 파트너 공인중개사)과의 사전 맺은 제휴 계약을 바탕으로, 회원으로부터 가계약금 및 선납금을 수납할 수 있는 법적 권한을 부여받은 ’제한적 수납 대리인(Limited Payment Collection Agent)’의 지위를 가집니다.</w:t>
      </w:r>
    </w:p>
    <w:p>
      <w:pPr>
        <w:pStyle w:val="BodyText"/>
      </w:pPr>
      <w:r>
        <w:t xml:space="preserve">② 회원이 플랫폼 내에서 제공되는 토스 결제망을 통해 해당 가계약금 및 선납금의 결제를 성공적으로 완료한 시점에, 회원은 해당 매물의 임대인에 대한 대금 지급 의무를 적법하고 완전하게 이행한 것으로 간주합니다.</w:t>
      </w:r>
    </w:p>
    <w:p>
      <w:pPr>
        <w:pStyle w:val="BodyText"/>
      </w:pPr>
      <w:r>
        <w:t xml:space="preserve">③ 제2항에 따라 결제가 완료된 경우, 플랫폼 시스템상 자금의 실제 정산 지연 등 회사와 임대인 간의 정산 관계와 무관하게 회원의 임대인에 대한 대금 지급 효력은 그대로 유지되며, 회사는 보관된 자금을 안전하게 예치 및 보관할 의무를 집니다.</w:t>
      </w:r>
    </w:p>
    <w:p>
      <w:pPr>
        <w:pStyle w:val="BodyText"/>
      </w:pPr>
      <w:r>
        <w:t xml:space="preserve">④ 회사가 자금을 수납 완료한 이후 발생한 임대인과 회원 간의 개별적인 임대차 계약 조건 분쟁에 대하여 회사는 직접적인 당사자가 아니므로 책임을 지지 않습니다.</w:t>
      </w:r>
    </w:p>
    <w:p>
      <w:pPr>
        <w:pStyle w:val="BodyText"/>
      </w:pPr>
      <w:r>
        <w:t xml:space="preserve">⑤ 본 조는 회사의 제한적 수납 대리인 지위에 관하여 플랫폼의 모든 개별 약관에 공통으로 적용되는 기본 조항입니다.</w:t>
      </w:r>
    </w:p>
    <w:bookmarkEnd w:id="21"/>
    <w:bookmarkStart w:id="22" w:name="제3조-토스-에스크로-결제-적용-대상-및-절차"/>
    <w:p>
      <w:pPr>
        <w:pStyle w:val="Heading3"/>
      </w:pPr>
      <w:r>
        <w:t xml:space="preserve">제3조 (토스 에스크로 결제 적용 대상 및 절차)</w:t>
      </w:r>
    </w:p>
    <w:p>
      <w:pPr>
        <w:pStyle w:val="FirstParagraph"/>
      </w:pPr>
      <w:r>
        <w:t xml:space="preserve">① 플랫폼 내에 등록된 광고 매물 중 해외 카드 결제 및 비대면 선점 계약을 지원하는 모든 매물의 가계약금 및 선납금은 토스 에스크로 결제 적용 대상이 됩니다.</w:t>
      </w:r>
    </w:p>
    <w:p>
      <w:pPr>
        <w:pStyle w:val="BodyText"/>
      </w:pPr>
      <w:r>
        <w:t xml:space="preserve">② 에스크로 결제 절차는 다음과 같이 진행됩니다.</w:t>
      </w:r>
    </w:p>
    <w:p>
      <w:pPr>
        <w:numPr>
          <w:ilvl w:val="0"/>
          <w:numId w:val="1002"/>
        </w:numPr>
      </w:pPr>
      <w:r>
        <w:t xml:space="preserve">회원의 매물 확인 및 에스크로 결제 신청</w:t>
      </w:r>
    </w:p>
    <w:p>
      <w:pPr>
        <w:numPr>
          <w:ilvl w:val="0"/>
          <w:numId w:val="1002"/>
        </w:numPr>
      </w:pPr>
      <w:r>
        <w:t xml:space="preserve">플랫폼과 연동된 토스페이먼츠 결제창을 통한 대금 결제</w:t>
      </w:r>
    </w:p>
    <w:p>
      <w:pPr>
        <w:numPr>
          <w:ilvl w:val="0"/>
          <w:numId w:val="1002"/>
        </w:numPr>
      </w:pPr>
      <w:r>
        <w:t xml:space="preserve">결제 완료 후 회사의 안전 예치 계좌로 자금 입금 및 보관 고지</w:t>
      </w:r>
    </w:p>
    <w:p>
      <w:pPr>
        <w:numPr>
          <w:ilvl w:val="0"/>
          <w:numId w:val="1002"/>
        </w:numPr>
      </w:pPr>
      <w:r>
        <w:t xml:space="preserve">입국 및 최종 임대차 표준 계약 체결에 따른 정산 또는 취소에 따른 환불</w:t>
      </w:r>
    </w:p>
    <w:bookmarkEnd w:id="22"/>
    <w:bookmarkStart w:id="23" w:name="제4조-대금의-수납-및-예치-보관-원칙"/>
    <w:p>
      <w:pPr>
        <w:pStyle w:val="Heading3"/>
      </w:pPr>
      <w:r>
        <w:t xml:space="preserve">제4조 (대금의 수납 및 예치 보관 원칙)</w:t>
      </w:r>
    </w:p>
    <w:p>
      <w:pPr>
        <w:pStyle w:val="FirstParagraph"/>
      </w:pPr>
      <w:r>
        <w:t xml:space="preserve">① 회사는 회원이 토스 결제망을 통해 납부한 가계약금 및 선납금을 수납 완료한 후, 회사의 자체 운영 자금과 엄격히 분리된 ’토스 에스크로 지정 안전 예치 계좌’에 보관하여야 합니다.</w:t>
      </w:r>
    </w:p>
    <w:p>
      <w:pPr>
        <w:pStyle w:val="BodyText"/>
      </w:pPr>
      <w:r>
        <w:t xml:space="preserve">② 회사는 예치된 자금을 회사의 임의적인 목적으로 유용, 대여, 담보 제공 등 처분 행위를 할 수 없으며, 지정된 정산 조건이 성취되거나 적법한 취소 절차가 완료될 때까지 안전하게 보관할 책임을 집니다.</w:t>
      </w:r>
    </w:p>
    <w:bookmarkEnd w:id="23"/>
    <w:bookmarkStart w:id="24" w:name="제5조-결제-수단-및-통화-기준"/>
    <w:p>
      <w:pPr>
        <w:pStyle w:val="Heading3"/>
      </w:pPr>
      <w:r>
        <w:t xml:space="preserve">제5조 (결제 수단 및 통화 기준)</w:t>
      </w:r>
    </w:p>
    <w:p>
      <w:pPr>
        <w:pStyle w:val="FirstParagraph"/>
      </w:pPr>
      <w:r>
        <w:t xml:space="preserve">① 회사가 플랫폼 내에서 지원하는 결제 수단에 관하여는 「통신판매중개 수수료 결제 및 취소·환불 기본 약관」 제4조를 준용합니다.</w:t>
      </w:r>
    </w:p>
    <w:p>
      <w:pPr>
        <w:pStyle w:val="BodyText"/>
      </w:pPr>
      <w:r>
        <w:t xml:space="preserve">② 기준통화에 관하여는 「외환 환율 변동에 따른 대금 정산 차액 손실 면책 조항」 제2조를 준용합니다.</w:t>
      </w:r>
    </w:p>
    <w:bookmarkEnd w:id="24"/>
    <w:bookmarkStart w:id="25" w:name="제6조-해외-카드-결제-및-환율-위험-면책"/>
    <w:p>
      <w:pPr>
        <w:pStyle w:val="Heading3"/>
      </w:pPr>
      <w:r>
        <w:t xml:space="preserve">제6조 (해외 카드 결제 및 환율 위험 면책)</w:t>
      </w:r>
    </w:p>
    <w:p>
      <w:pPr>
        <w:pStyle w:val="FirstParagraph"/>
      </w:pPr>
      <w:r>
        <w:t xml:space="preserve">해외 신용카드 결제 시의 환율 산정, 자국통화결제(DCC) 수수료, 해외 이용 수수료의 부담 및 결제 시점과 취소·환불 시점 간의 환율 변동에 관하여는 「외환 환율 변동에 따른 대금 정산 차액 손실 면책 조항」 전문을 준용합니다.</w:t>
      </w:r>
    </w:p>
    <w:bookmarkEnd w:id="25"/>
    <w:bookmarkStart w:id="26" w:name="제7조-에스크로-대금의-정산-및-지급-조건"/>
    <w:p>
      <w:pPr>
        <w:pStyle w:val="Heading3"/>
      </w:pPr>
      <w:r>
        <w:t xml:space="preserve">제7조 (에스크로 대금의 정산 및 지급 조건)</w:t>
      </w:r>
    </w:p>
    <w:p>
      <w:pPr>
        <w:pStyle w:val="FirstParagraph"/>
      </w:pPr>
      <w:r>
        <w:t xml:space="preserve">① 회사가 안전 예치 계좌에 보관 중인 대금을 임대인 또는 파트너 공인중개사에게 최종 정산(지급)하기 위해서는 다음 각 호의 안전 결제 트리거(Trigger) 조건이 모두 충족되어 플랫폼 상에 증빙되어야 합니다.</w:t>
      </w:r>
    </w:p>
    <w:p>
      <w:pPr>
        <w:numPr>
          <w:ilvl w:val="0"/>
          <w:numId w:val="1003"/>
        </w:numPr>
      </w:pPr>
      <w:r>
        <w:t xml:space="preserve">외국인 회원의 대한민국 실제 입국 완료 확인 (입국장 확인 또는 플랫폼 내 입국 증빙 등록)</w:t>
      </w:r>
    </w:p>
    <w:p>
      <w:pPr>
        <w:numPr>
          <w:ilvl w:val="0"/>
          <w:numId w:val="1003"/>
        </w:numPr>
      </w:pPr>
      <w:r>
        <w:t xml:space="preserve">파트너 공인중개사를 매개로 한 임대인과 회원 간의 임대차 표준 임대차 계약서의 최종 확정 및 오프라인 서명·체결 완료</w:t>
      </w:r>
    </w:p>
    <w:p>
      <w:pPr>
        <w:pStyle w:val="FirstParagraph"/>
      </w:pPr>
      <w:r>
        <w:t xml:space="preserve">② 제1항의 정산 조건이 정상적으로 완결된 것이 시스템을 통해 확인되면, 회사는 확인일로부터 3영업일 이내에 보관된 대금을 임대인 또는 파트너 공인중개사의 지정 정산 계좌로 지급 처리합니다.</w:t>
      </w:r>
    </w:p>
    <w:p>
      <w:pPr>
        <w:pStyle w:val="BodyText"/>
      </w:pPr>
      <w:r>
        <w:t xml:space="preserve">③ 본 조는 에스크로 대금의 정산 조건에 관하여 플랫폼의 모든 개별 약관에 공통으로 적용되는 기본 조항입니다.</w:t>
      </w:r>
    </w:p>
    <w:bookmarkEnd w:id="26"/>
    <w:bookmarkStart w:id="27" w:name="제8조-정산-금액-산정-및-수수료-공제"/>
    <w:p>
      <w:pPr>
        <w:pStyle w:val="Heading3"/>
      </w:pPr>
      <w:r>
        <w:t xml:space="preserve">제8조 (정산 금액 산정 및 수수료 공제)</w:t>
      </w:r>
    </w:p>
    <w:p>
      <w:pPr>
        <w:pStyle w:val="FirstParagraph"/>
      </w:pPr>
      <w:r>
        <w:t xml:space="preserve">① 회사가 임대인 또는 파트너 공인중개사에게 대금을 지급하거나 회원에게 환불할 때, 플랫폼 인프라 이용 수수료 및 토스페이먼츠 결제망 이용 수수료(PG 결제 수수료)를 사전 약정된 요율에 따라 공제하고 잔액을 정산합니다.</w:t>
      </w:r>
    </w:p>
    <w:p>
      <w:pPr>
        <w:pStyle w:val="BodyText"/>
      </w:pPr>
      <w:r>
        <w:t xml:space="preserve">② 구체적인 수수료 산정 공식 및 공제 요율은 별도의 서비스 이용 매뉴얼 및 파트너십 계약서에 따르며, 회원은 결제 전 화면을 통해 고지된 수수료를 확인하고 이에 동의한 것으로 간주합니다.</w:t>
      </w:r>
    </w:p>
    <w:bookmarkEnd w:id="27"/>
    <w:bookmarkStart w:id="28" w:name="제9조-계약-취소-및-환불-기준"/>
    <w:p>
      <w:pPr>
        <w:pStyle w:val="Heading3"/>
      </w:pPr>
      <w:r>
        <w:t xml:space="preserve">제9조 (계약 취소 및 환불 기준)</w:t>
      </w:r>
    </w:p>
    <w:p>
      <w:pPr>
        <w:pStyle w:val="FirstParagraph"/>
      </w:pPr>
      <w:r>
        <w:t xml:space="preserve">① 본 조는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회원의 위임에 따라 임대인 측에 증약금을 대리 납입하기 전, 즉 대금이 회사의 안전 예치 계좌에 보관 중인 단계의 취소 및 환불에 적용됩니다. 대리 납입이 완료된 이후의 취소에 관하여는 「부동산 위탁 결제 및 계약 지원 서비스 약관」 제5조를 적용합니다.</w:t>
      </w:r>
    </w:p>
    <w:p>
      <w:pPr>
        <w:pStyle w:val="BodyText"/>
      </w:pPr>
      <w:r>
        <w:t xml:space="preserve">② 회원의 단순 변심, 입국 불허, 임대인의 사정 등 상황별 계약 취소에 따른 환불 비율과 기준은 다음과 같습니다.</w:t>
      </w:r>
    </w:p>
    <w:p>
      <w:pPr>
        <w:numPr>
          <w:ilvl w:val="0"/>
          <w:numId w:val="1004"/>
        </w:numPr>
      </w:pPr>
      <w:r>
        <w:t xml:space="preserve">임대인 또는 회사의 귀책사유로 인하여 임대차 계약이 원천적으로 불성립하거나 취소되는 경우: 에스크로 절차 및 법정 소비자 보호 기준에 따라 결제 대금 전액을 회원에게 환불합니다.</w:t>
      </w:r>
    </w:p>
    <w:p>
      <w:pPr>
        <w:numPr>
          <w:ilvl w:val="0"/>
          <w:numId w:val="1004"/>
        </w:numPr>
      </w:pPr>
      <w:r>
        <w:t xml:space="preserve">회원의 일방적인 단순 변심으로 인한 입국 전 취소의 경우: 취소 요청 시점에 따라 차등화된 취소 수수료(위약금 등)를 공제한 후 잔액을 환불하며, 세부 환불 비율은 매물별 취소 정책 고지 사항을 따릅니다.</w:t>
      </w:r>
    </w:p>
    <w:p>
      <w:pPr>
        <w:pStyle w:val="FirstParagraph"/>
      </w:pPr>
      <w:r>
        <w:t xml:space="preserve">③ 청약철회의 일반 원칙 및 취소 수수료의 산정에 관하여는 「통신판매중개 수수료 결제 및 취소·환불 기본 약관」 제8조 내지 제10조를 준용합니다.</w:t>
      </w:r>
    </w:p>
    <w:bookmarkEnd w:id="28"/>
    <w:bookmarkStart w:id="29" w:name="제10조-에스크로-대금-반환-절차"/>
    <w:p>
      <w:pPr>
        <w:pStyle w:val="Heading3"/>
      </w:pPr>
      <w:r>
        <w:t xml:space="preserve">제10조 (에스크로 대금 반환 절차)</w:t>
      </w:r>
    </w:p>
    <w:p>
      <w:pPr>
        <w:pStyle w:val="FirstParagraph"/>
      </w:pPr>
      <w:r>
        <w:t xml:space="preserve">① 계약이 적법하게 취소되거나 환불이 확정된 경우, 회사는 토스 에스크로 망을 통하여 회원이 최초 결제했던 수단과 동일한 방법으로 대금 반환 절차를 진행합니다.</w:t>
      </w:r>
    </w:p>
    <w:p>
      <w:pPr>
        <w:pStyle w:val="BodyText"/>
      </w:pPr>
      <w:r>
        <w:t xml:space="preserve">② 결제 수단별 환불 처리에 소요되는 기간에 관하여는 「통신판매중개 수수료 결제 및 취소·환불 기본 약관」 제11조 제2항을 준용합니다.</w:t>
      </w:r>
    </w:p>
    <w:bookmarkEnd w:id="29"/>
    <w:bookmarkStart w:id="30" w:name="제11조-환불-시-수수료-및-환율-부담"/>
    <w:p>
      <w:pPr>
        <w:pStyle w:val="Heading3"/>
      </w:pPr>
      <w:r>
        <w:t xml:space="preserve">제11조 (환불 시 수수료 및 환율 부담)</w:t>
      </w:r>
    </w:p>
    <w:p>
      <w:pPr>
        <w:pStyle w:val="FirstParagraph"/>
      </w:pPr>
      <w:r>
        <w:t xml:space="preserve">① 회원의 귀책사유로 인한 취소 및 환불 발생 시, 기 발생한 토스페이먼츠 결제망 이용 수수료 및 환불에 소요되는 송금 수수료 등은 회원이 부담하며, 회사는 이를 환불 원금에서 차감할 수 있습니다. 해외 송금 및 반환에 수반되는 금융 비용의 구체적 항목과 공제 방식에 관하여는 「외환 환율 변동에 따른 대금 정산 차액 손실 면책 조항」 제4조 제2항을 준용합니다.</w:t>
      </w:r>
    </w:p>
    <w:p>
      <w:pPr>
        <w:pStyle w:val="BodyText"/>
      </w:pPr>
      <w:r>
        <w:t xml:space="preserve">② 해외 신용카드 결제 취소 시 적용되는 환율 기준 및 환차손의 부담에 관하여는 「외환 환율 변동에 따른 대금 정산 차액 손실 면책 조항」 제5조를 준용합니다.</w:t>
      </w:r>
    </w:p>
    <w:bookmarkEnd w:id="30"/>
    <w:bookmarkStart w:id="31" w:name="제12조-결제-정보-수집-및-대리-처리-동의"/>
    <w:p>
      <w:pPr>
        <w:pStyle w:val="Heading3"/>
      </w:pPr>
      <w:r>
        <w:t xml:space="preserve">제12조 (결제 정보 수집 및 대리 처리 동의)</w:t>
      </w:r>
    </w:p>
    <w:p>
      <w:pPr>
        <w:pStyle w:val="FirstParagraph"/>
      </w:pPr>
      <w:r>
        <w:t xml:space="preserve">① 회사는 토스 에스크로 시스템 연동, 부당 결제 방지 및 안전한 전자금융거래 수행을 위하여 필요한 범위 내에서 회원의 인적사항(성명, 국적, 이메일 등) 및 결제 정보(카드 정보, 계좌 정보 등)를 필수적으로 수집·이용합니다. 회사가 수집하는 필수 항목은 다음 각 호와 같습니다.</w:t>
      </w:r>
    </w:p>
    <w:p>
      <w:pPr>
        <w:numPr>
          <w:ilvl w:val="0"/>
          <w:numId w:val="1005"/>
        </w:numPr>
      </w:pPr>
      <w:r>
        <w:t xml:space="preserve">결제자의 성명, 생년월일, 국적, 이메일 주소</w:t>
      </w:r>
    </w:p>
    <w:p>
      <w:pPr>
        <w:numPr>
          <w:ilvl w:val="0"/>
          <w:numId w:val="1005"/>
        </w:numPr>
      </w:pPr>
      <w:r>
        <w:t xml:space="preserve">신용카드 번호 일부, 카드 소유주 성명</w:t>
      </w:r>
    </w:p>
    <w:p>
      <w:pPr>
        <w:numPr>
          <w:ilvl w:val="0"/>
          <w:numId w:val="1005"/>
        </w:numPr>
      </w:pPr>
      <w:r>
        <w:t xml:space="preserve">금융기관 계좌 정보, 가상계좌 발급 정보</w:t>
      </w:r>
    </w:p>
    <w:p>
      <w:pPr>
        <w:pStyle w:val="FirstParagraph"/>
      </w:pPr>
      <w:r>
        <w:t xml:space="preserve">② 회원은 회사가 안전한 정산 업무 대행 및 전자금융거래 지원을 위하여 수집된 결제 정보를 제3자인 토스페이먼츠 주식회사 및 협약 금융기관에 제공하는 것에 동의해야만 플랫폼 내 결제 인프라를 이용할 수 있으며, 회사는 수집된 정보를 개인정보보호법에 따라 엄격히 관리합니다.</w:t>
      </w:r>
    </w:p>
    <w:p>
      <w:pPr>
        <w:pStyle w:val="BodyText"/>
      </w:pPr>
      <w:r>
        <w:t xml:space="preserve">③ 수집된 결제 정보의 보유 기간 및 파기에 관하여는 「개인정보 수집 및 이용 동의」 제2장 제5조를 준용합니다.</w:t>
      </w:r>
    </w:p>
    <w:p>
      <w:pPr>
        <w:pStyle w:val="BodyText"/>
      </w:pPr>
      <w:r>
        <w:t xml:space="preserve">④ 본 조는 결제 정보의 수집 및 전자결제대행업체에 대한 제3자 제공에 관하여 플랫폼의 모든 개별 약관에 공통으로 적용되는 기본 조항입니다.</w:t>
      </w:r>
    </w:p>
    <w:bookmarkEnd w:id="31"/>
    <w:bookmarkStart w:id="32" w:name="제13조-장애-대응-및-면책-사항"/>
    <w:p>
      <w:pPr>
        <w:pStyle w:val="Heading3"/>
      </w:pPr>
      <w:r>
        <w:t xml:space="preserve">제13조 (장애 대응 및 면책 사항)</w:t>
      </w:r>
    </w:p>
    <w:p>
      <w:pPr>
        <w:pStyle w:val="FirstParagraph"/>
      </w:pPr>
      <w:r>
        <w:t xml:space="preserve">① 토스페이먼츠 결제망 자체의 시스템 오류·전산 장애 또는 정기 점검, 기간통신사업자의 통신 선로 장애 또는 전기통신서비스 중단, 천재지변·전쟁·폭동·테러·해킹·DDOS 공격 등 회사가 통제할 수 없는 사유로 인하여 플랫폼 내 결제, 에스크로 예치, 또는 정산 업무가 지연되거나 불가능해진 경우, 회사의 고의 또는 중대한 과실이 없는 한 이에 대한 책임을 지지 않습니다. 불가항력 및 시스템 장애에 따른 면책의 일반 원칙에 관하여는 「통신판매중개 수수료 결제 및 취소·환불 기본 약관」 제13조를 준용합니다.</w:t>
      </w:r>
    </w:p>
    <w:p>
      <w:pPr>
        <w:pStyle w:val="BodyText"/>
      </w:pPr>
      <w:r>
        <w:t xml:space="preserve">② 제1항의 장애가 발생할 경우 회사는 공식 홈페이지 고지 및 다국어 안내 발송을 통해 회원에게 즉시 사실을 알리고, 토스페이먼츠 등 관계 기관과 협조하여 신속히 시스템이 정상화될 수 있도록 최선의 조치를 취하여야 합니다.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val="000000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val="00000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00000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2026-09-03T07:29:01Z</dcterms:created>
  <dcterms:modified xsi:type="dcterms:W3CDTF">2026-09-03T07:29:01Z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