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제4장-대상별-본인인증-및-신원-확인"/>
    <w:p>
      <w:pPr>
        <w:pStyle w:val="Heading1"/>
      </w:pPr>
      <w:r>
        <w:t xml:space="preserve">제4장 대상별 본인인증 및 신원 확인</w:t>
      </w:r>
    </w:p>
    <w:bookmarkStart w:id="20" w:name="제1조-내국인-회원의-본인인증"/>
    <w:p>
      <w:pPr>
        <w:pStyle w:val="Heading3"/>
      </w:pPr>
      <w:r>
        <w:t xml:space="preserve">제1조 (내국인 회원의 본인인증)</w:t>
      </w:r>
    </w:p>
    <w:p>
      <w:pPr>
        <w:pStyle w:val="FirstParagraph"/>
      </w:pPr>
      <w:r>
        <w:t xml:space="preserve">① 대한민국 국적을 보유한 이용자(이하</w:t>
      </w:r>
      <w:r>
        <w:t xml:space="preserve"> </w:t>
      </w:r>
      <w:r>
        <w:t xml:space="preserve">“</w:t>
      </w:r>
      <w:r>
        <w:t xml:space="preserve">내국인 회원</w:t>
      </w:r>
      <w:r>
        <w:t xml:space="preserve">”</w:t>
      </w:r>
      <w:r>
        <w:t xml:space="preserve">)는 플랫폼 내 유료 서비스 결제 및 정산, 주요 기능 이용을 위하여 관계 법령에 따른 본인확인기관이 제공하는 인증 수단을 거쳐야 합니다.</w:t>
      </w:r>
    </w:p>
    <w:p>
      <w:pPr>
        <w:pStyle w:val="BodyText"/>
      </w:pPr>
      <w:r>
        <w:t xml:space="preserve">② 회사는 내국인 회원의 본인확인 과정에서 방송통신위원회 등 관계 기관의 승인을 받은 본인확인기관을 통해 연계정보(CI, Connecting Information) 및 중복가입확인정보(DI, Duplication Information)를 적법하게 획득하며, 이를 통해 회원의 신원 검증 및 1인 1계정 여부를 확인합니다.</w:t>
      </w:r>
    </w:p>
    <w:p>
      <w:pPr>
        <w:pStyle w:val="BodyText"/>
      </w:pPr>
      <w:r>
        <w:t xml:space="preserve">③ 회원은 본인 명의의 정보만을 이용해야 하며, 타인의 명의를 도용하거나 허위 정보를 입력하여 발생하는 모든 법적 책임은 회원 본인에게 귀속됩니다.</w:t>
      </w:r>
    </w:p>
    <w:bookmarkEnd w:id="20"/>
    <w:bookmarkStart w:id="21" w:name="제2조-국내-체류-외국인-회원의-본인인증"/>
    <w:p>
      <w:pPr>
        <w:pStyle w:val="Heading3"/>
      </w:pPr>
      <w:r>
        <w:t xml:space="preserve">제2조 (국내 체류 외국인 회원의 본인인증)</w:t>
      </w:r>
    </w:p>
    <w:p>
      <w:pPr>
        <w:pStyle w:val="FirstParagraph"/>
      </w:pPr>
      <w:r>
        <w:t xml:space="preserve">① 대한민국 내에 외국인등록을 하고 거주 중인 외국인 이용자(이하</w:t>
      </w:r>
      <w:r>
        <w:t xml:space="preserve"> </w:t>
      </w:r>
      <w:r>
        <w:t xml:space="preserve">“</w:t>
      </w:r>
      <w:r>
        <w:t xml:space="preserve">국내 체류 외국인 회원</w:t>
      </w:r>
      <w:r>
        <w:t xml:space="preserve">”</w:t>
      </w:r>
      <w:r>
        <w:t xml:space="preserve">)는 법무부 출입국·외국인정책본부 고유의 외국인등록번호(ARC, Alien Registration Card) 또는 국내거소신고번호를 기반으로 한 인증 절차를 완료해야 합니다.</w:t>
      </w:r>
    </w:p>
    <w:p>
      <w:pPr>
        <w:pStyle w:val="BodyText"/>
      </w:pPr>
      <w:r>
        <w:t xml:space="preserve">② 회사는 국내 체류 외국인 회원이 입력한 성명, 외국인등록번호 및 외국인등록증 전면 사본의 유효성을 정부 기관 연계 시스템 또는 적법한 검증 인프라를 통해 대조 및 검증합니다.</w:t>
      </w:r>
    </w:p>
    <w:p>
      <w:pPr>
        <w:pStyle w:val="BodyText"/>
      </w:pPr>
      <w:r>
        <w:t xml:space="preserve">③ 외국인등록번호의 만료, 체류 자격 상실 등의 사유로 신원 데이터의 변동이 발생한 경우, 회원은 즉시 이를 회사에 통보하고 인증 정보를 갱신해야 합니다.</w:t>
      </w:r>
    </w:p>
    <w:bookmarkEnd w:id="21"/>
    <w:bookmarkStart w:id="22" w:name="제3조-국외-체류-외국인-회원의-본인인증"/>
    <w:p>
      <w:pPr>
        <w:pStyle w:val="Heading3"/>
      </w:pPr>
      <w:r>
        <w:t xml:space="preserve">제3조 (국외 체류 외국인 회원의 본인인증)</w:t>
      </w:r>
    </w:p>
    <w:p>
      <w:pPr>
        <w:pStyle w:val="FirstParagraph"/>
      </w:pPr>
      <w:r>
        <w:t xml:space="preserve">① 대한민국 입국 전 해외에 체류 중인 외국인 이용자(이하</w:t>
      </w:r>
      <w:r>
        <w:t xml:space="preserve"> </w:t>
      </w:r>
      <w:r>
        <w:t xml:space="preserve">“</w:t>
      </w:r>
      <w:r>
        <w:t xml:space="preserve">국외 체류 외국인 회원</w:t>
      </w:r>
      <w:r>
        <w:t xml:space="preserve">”</w:t>
      </w:r>
      <w:r>
        <w:t xml:space="preserve">)는 본인의 유효한 여권(Passport) 정보 및 추가 서류 데이터를 제출하여 신원 확인 절차를 이행해야 합니다.</w:t>
      </w:r>
    </w:p>
    <w:p>
      <w:pPr>
        <w:pStyle w:val="BodyText"/>
      </w:pPr>
      <w:r>
        <w:t xml:space="preserve">② 회사는 국외 체류 외국인 회원의 도용 및 부정을 방지하기 위하여, 회원이 제출한 여권 사본 데이터와 실시간으로 촬영된 회원의 안면 이미지(Liveness Check, 실시간 생체 데이터 매칭 기술 등)를 상호 대조하는 방식으로 비대면 신원 검증을 진행합니다.</w:t>
      </w:r>
    </w:p>
    <w:p>
      <w:pPr>
        <w:pStyle w:val="BodyText"/>
      </w:pPr>
      <w:r>
        <w:t xml:space="preserve">③ 회사는 생체 인식 검증 과정에서 이용자의 민감정보(얼굴 이미지 정보 등)를 『개인정보 보호법』 등 관련 법령에 따라 철저히 암호화하여 처리하며, 목적 달성 후 안전하게 파기합니다.</w:t>
      </w:r>
    </w:p>
    <w:p>
      <w:pPr>
        <w:pStyle w:val="BodyText"/>
      </w:pPr>
      <w:r>
        <w:t xml:space="preserve">④ 본 장 제1조 내지 제3조는 대상별 본인인증 수단 및 절차에 관하여 플랫폼의 모든 개별 약관에 공통으로 적용되는 기본 조항입니다.</w:t>
      </w:r>
    </w:p>
    <w:bookmarkEnd w:id="22"/>
    <w:bookmarkStart w:id="23" w:name="제4조-플랫폼-내-신원-신뢰도-점수-부여-및-이용-제한"/>
    <w:p>
      <w:pPr>
        <w:pStyle w:val="Heading3"/>
      </w:pPr>
      <w:r>
        <w:t xml:space="preserve">제4조 (플랫폼 내 신원 신뢰도 점수 부여 및 이용 제한)</w:t>
      </w:r>
    </w:p>
    <w:p>
      <w:pPr>
        <w:pStyle w:val="FirstParagraph"/>
      </w:pPr>
      <w:r>
        <w:t xml:space="preserve">① 회사는 회원이 이행한 본인인증 수단의 등급(여권, ARC, CI/DI 등), 제출된 데이터의 객관적 정확성, 누적된 거래 성실도 등을 종합적으로 산정하여 플랫폼 내부 시스템에 따른 ’신원 신뢰도 점수’를 차등 부여할 수 있습니다. 신뢰도 점수의 구체적인 산정 기준 및 평가 항목은 회사가 플랫폼 내에 별도로 공개하는 운영정책에 따릅니다.</w:t>
      </w:r>
    </w:p>
    <w:p>
      <w:pPr>
        <w:pStyle w:val="BodyText"/>
      </w:pPr>
      <w:r>
        <w:t xml:space="preserve">② 회원이 다음 각 호의 어느 하나에 해당하는 행위를 한 경우, 회사는 직권으로 해당 회원의 신뢰도 점수를 차감할 수 있습니다.</w:t>
      </w:r>
    </w:p>
    <w:p>
      <w:pPr>
        <w:numPr>
          <w:ilvl w:val="0"/>
          <w:numId w:val="1001"/>
        </w:numPr>
      </w:pPr>
      <w:r>
        <w:t xml:space="preserve">위조·변조된 여권이나 외국인등록증을 제출한 경우</w:t>
      </w:r>
    </w:p>
    <w:p>
      <w:pPr>
        <w:numPr>
          <w:ilvl w:val="0"/>
          <w:numId w:val="1001"/>
        </w:numPr>
      </w:pPr>
      <w:r>
        <w:t xml:space="preserve">타인의 명의나 신원 정보를 무단 도용한 경우</w:t>
      </w:r>
    </w:p>
    <w:p>
      <w:pPr>
        <w:numPr>
          <w:ilvl w:val="0"/>
          <w:numId w:val="1001"/>
        </w:numPr>
      </w:pPr>
      <w:r>
        <w:t xml:space="preserve">결제 및 위탁 계약 과정에서 기망 행위를 시도한 정황이 적발되는 경우</w:t>
      </w:r>
    </w:p>
    <w:p>
      <w:pPr>
        <w:pStyle w:val="FirstParagraph"/>
      </w:pPr>
      <w:r>
        <w:t xml:space="preserve">③ 명의도용·위변조 시 계정 영구폐쇄에 관하여는 「회원가입 및 플랫폼 이용 기본 약관」 제1장 제3조 제3항을 준용합니다.</w:t>
      </w:r>
    </w:p>
    <w:p>
      <w:pPr>
        <w:pStyle w:val="BodyText"/>
      </w:pPr>
      <w:r>
        <w:t xml:space="preserve">④ 회원의 신뢰도 점수 하락 또는 부적절한 행위의 경중에 따른 단계별 이용 제한 조치에 관하여는 「회원가입 및 플랫폼 이용 기본 약관」 제1장 제5조 제4항을 준용합니다. 다만 플랫폼 내 계정의 영구 폐쇄 및 전체 인프라 이용 박탈은 위조·변조 데이터 제출, 타인 명의 도용 등 부정행위의 정도가 중대하고 객관적으로 확정된 경우에 한합니다.</w:t>
      </w:r>
    </w:p>
    <w:p>
      <w:pPr>
        <w:pStyle w:val="BodyText"/>
      </w:pPr>
      <w:r>
        <w:t xml:space="preserve">⑤ 제2항에 따른 신뢰도 점수 차감 또는 이용 제한 조치에 대하여 회원은 통지를 받은 날로부터 14일 이내에 회사에 이의를 제기할 수 있습니다. 회사는 이의제기 접수 후 정당한 사유가 인정되는 경우 즉시 조치를 철회하고 점수를 복구합니다.</w:t>
      </w:r>
    </w:p>
    <w:p>
      <w:pPr>
        <w:pStyle w:val="BodyText"/>
      </w:pPr>
      <w:r>
        <w:t xml:space="preserve">⑥ 제2항 및 제4항에 따른 조치의 사전 통지, 소명 기회 부여 및 확정 절차에 관하여는 「통신판매중개 수수료 결제 및 취소·환불 기본 약관」 제7조를 준용합니다.</w:t>
      </w:r>
    </w:p>
    <w:bookmarkEnd w:id="23"/>
    <w:bookmarkEnd w:id="24"/>
    <w:bookmarkStart w:id="30" w:name="제5장-토스-에스크로-결제-및-제한적-수납-대리"/>
    <w:p>
      <w:pPr>
        <w:pStyle w:val="Heading1"/>
      </w:pPr>
      <w:r>
        <w:t xml:space="preserve">제5장 토스 에스크로 결제 및 제한적 수납 대리</w:t>
      </w:r>
    </w:p>
    <w:bookmarkStart w:id="25" w:name="제1조-제한적-수납-대리인의-지위-명시"/>
    <w:p>
      <w:pPr>
        <w:pStyle w:val="Heading3"/>
      </w:pPr>
      <w:r>
        <w:t xml:space="preserve">제1조 (제한적 수납 대리인의 지위 명시)</w:t>
      </w:r>
    </w:p>
    <w:p>
      <w:pPr>
        <w:pStyle w:val="FirstParagraph"/>
      </w:pPr>
      <w:r>
        <w:t xml:space="preserve">제한적 수납 대리인 지위에 관하여는 「토스 에스크로 결제 및 정산 이용약관」 제2조를 준용합니다.</w:t>
      </w:r>
    </w:p>
    <w:bookmarkEnd w:id="25"/>
    <w:bookmarkStart w:id="26" w:name="제2조-토스-에스크로망-연계-및-안전-결제"/>
    <w:p>
      <w:pPr>
        <w:pStyle w:val="Heading3"/>
      </w:pPr>
      <w:r>
        <w:t xml:space="preserve">제2조 (토스 에스크로망 연계 및 안전 결제)</w:t>
      </w:r>
    </w:p>
    <w:p>
      <w:pPr>
        <w:pStyle w:val="FirstParagraph"/>
      </w:pPr>
      <w:r>
        <w:t xml:space="preserve">토스페이먼츠 에스크로망과의 연계, 수납 대금의 예치·보관 및 정산 조건(대한민국 실제 입국 완료, 임대차 표준 계약서의 최종 확정 및 체결)에 관하여는 「토스 에스크로 결제 및 정산 이용약관」 제2조, 제4조 및 제7조를 준용합니다.</w:t>
      </w:r>
    </w:p>
    <w:bookmarkEnd w:id="26"/>
    <w:bookmarkStart w:id="27" w:name="제3조-해외-신용카드-결제-및-환율-위험-면책"/>
    <w:p>
      <w:pPr>
        <w:pStyle w:val="Heading3"/>
      </w:pPr>
      <w:r>
        <w:t xml:space="preserve">제3조 (해외 신용카드 결제 및 환율 위험 면책)</w:t>
      </w:r>
    </w:p>
    <w:p>
      <w:pPr>
        <w:pStyle w:val="FirstParagraph"/>
      </w:pPr>
      <w:r>
        <w:t xml:space="preserve">① 기준통화에 관하여는 「외환 환율 변동에 따른 대금 정산 차액 손실 면책 조항」 제2조를 준용합니다.</w:t>
      </w:r>
    </w:p>
    <w:p>
      <w:pPr>
        <w:pStyle w:val="BodyText"/>
      </w:pPr>
      <w:r>
        <w:t xml:space="preserve">② 해외 신용카드 결제 시의 환율 변동, 자국통화결제(DCC) 수수료 및 해외 이용 수수료의 부담에 관하여는 「외환 환율 변동에 따른 대금 정산 차액 손실 면책 조항」 전문을 준용합니다.</w:t>
      </w:r>
    </w:p>
    <w:bookmarkEnd w:id="27"/>
    <w:bookmarkStart w:id="28" w:name="제4조-결제-전반의-수집-사항-및-결제-정보-처리-동의"/>
    <w:p>
      <w:pPr>
        <w:pStyle w:val="Heading3"/>
      </w:pPr>
      <w:r>
        <w:t xml:space="preserve">제4조 (결제 전반의 수집 사항 및 결제 정보 처리 동의)</w:t>
      </w:r>
    </w:p>
    <w:p>
      <w:pPr>
        <w:pStyle w:val="FirstParagraph"/>
      </w:pPr>
      <w:r>
        <w:t xml:space="preserve">결제 정보의 수집 항목, 이용 목적 및 토스페이먼츠 등 전자결제대행업체(PG사)에 대한 제3자 제공 동의에 관하여는 「토스 에스크로 결제 및 정산 이용약관」 제12조를 준용합니다.</w:t>
      </w:r>
    </w:p>
    <w:bookmarkEnd w:id="28"/>
    <w:bookmarkStart w:id="29" w:name="제5조-민원-및-분쟁처리-절차"/>
    <w:p>
      <w:pPr>
        <w:pStyle w:val="Heading3"/>
      </w:pPr>
      <w:r>
        <w:t xml:space="preserve">제5조 (민원 및 분쟁처리 절차)</w:t>
      </w:r>
    </w:p>
    <w:p>
      <w:pPr>
        <w:pStyle w:val="FirstParagraph"/>
      </w:pPr>
      <w:r>
        <w:t xml:space="preserve">① 회사는 『전자금융거래법』 제27조 및 동법 시행령 제15조에 따라 고객의 의견이나 불만을 반영하고, 전자금융거래와 관련하여 회원에게 발생한 손해를 배상하기 위한 민원 및 분쟁처리 창구와 절차를 마련하여 운영합니다.</w:t>
      </w:r>
    </w:p>
    <w:p>
      <w:pPr>
        <w:pStyle w:val="BodyText"/>
      </w:pPr>
      <w:r>
        <w:t xml:space="preserve">② 회원은 플랫폼 내 고객센터 및 지정된 분쟁처리 책임자·담당자에게 서면, 전자우편, 또는 전화 등을 통해 이의제기 또는 분쟁처리를 신청할 수 있습니다.</w:t>
      </w:r>
    </w:p>
    <w:p>
      <w:pPr>
        <w:pStyle w:val="BodyText"/>
      </w:pPr>
      <w:r>
        <w:t xml:space="preserve">③ 회사는 분쟁처리 신청을 접수한 날로부터 15일 이내에 조사 또는 처리 결과를 회원에게 통보합니다. 단, 추가 조사가 필요한 경우 그 사유와 처리 예정 기간을 사전에 안내합니다.</w:t>
      </w:r>
    </w:p>
    <w:p>
      <w:pPr>
        <w:pStyle w:val="BodyText"/>
      </w:pPr>
      <w:r>
        <w:t xml:space="preserve">④ 회원은 회사의 분쟁처리 결과에 이의가 있는 경우 금융감독원의 금융분쟁조정위원회나 한국소비자원의 소비자분쟁조정위원회 등에 분쟁조정을 신청할 수 있습니다.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2026-09-03T07:29:01Z</dcterms:created>
  <dcterms:modified xsi:type="dcterms:W3CDTF">2026-09-03T07:29:01Z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