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제16장-외환-환율-변동에-따른-대금-정산-차액-손실-면책-조항"/>
    <w:p>
      <w:pPr>
        <w:pStyle w:val="Heading1"/>
      </w:pPr>
      <w:r>
        <w:t xml:space="preserve">제16장 외환 환율 변동에 따른 대금 정산 차액 손실 면책 조항</w:t>
      </w:r>
    </w:p>
    <w:bookmarkStart w:id="20" w:name="제1조-목적"/>
    <w:p>
      <w:pPr>
        <w:pStyle w:val="Heading3"/>
      </w:pPr>
      <w:r>
        <w:t xml:space="preserve">제1조 (목적)</w:t>
      </w:r>
    </w:p>
    <w:p>
      <w:pPr>
        <w:pStyle w:val="FirstParagraph"/>
      </w:pPr>
      <w:r>
        <w:t xml:space="preserve">본 약관은 주식회사 나루(이하</w:t>
      </w:r>
      <w:r>
        <w:t xml:space="preserve"> </w:t>
      </w:r>
      <w:r>
        <w:t xml:space="preserve">“</w:t>
      </w:r>
      <w:r>
        <w:t xml:space="preserve">회사</w:t>
      </w:r>
      <w:r>
        <w:t xml:space="preserve">”</w:t>
      </w:r>
      <w:r>
        <w:t xml:space="preserve">)가 제공하는 나루메이트 플랫폼(이하</w:t>
      </w:r>
      <w:r>
        <w:t xml:space="preserve"> </w:t>
      </w:r>
      <w:r>
        <w:t xml:space="preserve">“</w:t>
      </w:r>
      <w:r>
        <w:t xml:space="preserve">플랫폼</w:t>
      </w:r>
      <w:r>
        <w:t xml:space="preserve">”</w:t>
      </w:r>
      <w:r>
        <w:t xml:space="preserve">)의 크로스보더(Cross-border) 해외 결제 및 정산 시스템을 이용함에 있어, 국내외 환율 변동 및 글로벌 금융 수수료 발생에 따른 회사, 회원(임차인), 임대인 및 제휴사 간의 책임 한계와 면책 기준을 명확히 규정함으로써 플랫폼의 재정적 손실을 방지하고 안전한 거래 인프라를 제공함을 목적으로 합니다.</w:t>
      </w:r>
    </w:p>
    <w:bookmarkEnd w:id="20"/>
    <w:bookmarkStart w:id="21" w:name="제2조-플랫폼-결제-및-정산의-기준-통화"/>
    <w:p>
      <w:pPr>
        <w:pStyle w:val="Heading3"/>
      </w:pPr>
      <w:r>
        <w:t xml:space="preserve">제2조 (플랫폼 결제 및 정산의 기준 통화)</w:t>
      </w:r>
    </w:p>
    <w:p>
      <w:pPr>
        <w:pStyle w:val="FirstParagraph"/>
      </w:pPr>
      <w:r>
        <w:t xml:space="preserve">① 플랫폼 내에서 표시, 청구 및 정산되는 모든 서비스 이용료, 구독료, 부동산 선납금, 가계약금 및 증약금 등 일체의 대금 거래에 대한 공식 기준 통화는 대한민국 원화(KRW)입니다.</w:t>
      </w:r>
    </w:p>
    <w:p>
      <w:pPr>
        <w:pStyle w:val="BodyText"/>
      </w:pPr>
      <w:r>
        <w:t xml:space="preserve">② 회사가 외국인 회원의 편의를 위하여 플랫폼 화면 내에서 달러(USD), 위안(CNY), 엔(JPY) 등 외화로 환산하여 보여주는 모든 가격 수치는 당일 또는 특정 시점의 기준 환율을 적용한 ’단순 참고용 데이터’에 불과합니다.</w:t>
      </w:r>
    </w:p>
    <w:p>
      <w:pPr>
        <w:pStyle w:val="BodyText"/>
      </w:pPr>
      <w:r>
        <w:t xml:space="preserve">③ 회원은 외화 표시 수치와 관계없이 최종 결제 단계 및 전자결제대행업체(PG사)의 결제창에서 확정되는 대한민국 원화(KRW) 금액을 기준으로 대금을 결제하여야 하며, 환율 변동에 따라 실제 유저에게 청구되는 외화 기준 수치는 플랫폼 내 참고 수치와 상이할 수 있습니다.</w:t>
      </w:r>
    </w:p>
    <w:p>
      <w:pPr>
        <w:pStyle w:val="BodyText"/>
      </w:pPr>
      <w:r>
        <w:t xml:space="preserve">④ 본 조는 플랫폼 내 모든 거래의 기준 통화에 관하여 플랫폼의 모든 개별 약관에 공통으로 적용되는 기본 조항입니다.</w:t>
      </w:r>
    </w:p>
    <w:bookmarkEnd w:id="21"/>
    <w:bookmarkStart w:id="22" w:name="제3조-시차적-외환-환율-변동에-대한-면책"/>
    <w:p>
      <w:pPr>
        <w:pStyle w:val="Heading3"/>
      </w:pPr>
      <w:r>
        <w:t xml:space="preserve">제3조 (시차적 외환 환율 변동에 대한 면책)</w:t>
      </w:r>
    </w:p>
    <w:p>
      <w:pPr>
        <w:pStyle w:val="FirstParagraph"/>
      </w:pPr>
      <w:r>
        <w:t xml:space="preserve">① 외국인 회원이 해외에서 대금을 결제한 시점과, 플랫폼이 대금을 에스크로(결제대금예치) 형태로 안전하게 보관한 후 정산 조건이 충족되어 국내 임대인, 공인중개사 및 제휴 파트너사에게 최종 대한민국 원화(KRW)로 정산(지급)하는 시점 사이에는 금융 기관의 시차적 요인에 의한 환율 변동이 발생할 수 있습니다.</w:t>
      </w:r>
    </w:p>
    <w:p>
      <w:pPr>
        <w:pStyle w:val="BodyText"/>
      </w:pPr>
      <w:r>
        <w:t xml:space="preserve">② 제1항의 시차적 환율 변동으로 인하여 외화 기준 청구 원금과 최종 원화 정산 대금 간에 차액 손실(환차손)이 발생하더라도, 회사는 이에 대해 보전, 보상 또는 배상할 의무를 일절 지지 않으며, 관련 환리스크는 회원이 전적으로 부담합니다.</w:t>
      </w:r>
    </w:p>
    <w:p>
      <w:pPr>
        <w:pStyle w:val="BodyText"/>
      </w:pPr>
      <w:r>
        <w:t xml:space="preserve">③ 환율의 일시적 변동으로 인해 회원이 최초 결제한 외화 대비 원화 정산 대금이 유리하게 작용하여 환차익이 발생하더라도, 해당 환차익은 플랫폼의 해외 결제 시스템 운영, 외환 정산망 유지 및 환리스크 관리 비용으로 상쇄·귀속되며, 회원이나 임대인 등에게 별도로 반환되거나 지급되지 않습니다.</w:t>
      </w:r>
    </w:p>
    <w:bookmarkEnd w:id="22"/>
    <w:bookmarkStart w:id="23" w:name="제4조-글로벌-금융-및-송금-수수료의-부담"/>
    <w:p>
      <w:pPr>
        <w:pStyle w:val="Heading3"/>
      </w:pPr>
      <w:r>
        <w:t xml:space="preserve">제4조 (글로벌 금융 및 송금 수수료의 부담)</w:t>
      </w:r>
    </w:p>
    <w:p>
      <w:pPr>
        <w:pStyle w:val="FirstParagraph"/>
      </w:pPr>
      <w:r>
        <w:t xml:space="preserve">① 회원이 해외 신용카드 및 결제 수단(VISA, Mastercard, JCB, AMEX, UnionPay 및 해외 전자결제 포함)을 통해 플랫폼 내 결제를 진행할 때 발생하는 다음 각 호의 글로벌 금융 수수료는 전적으로 회원이 부담합니다.</w:t>
      </w:r>
    </w:p>
    <w:p>
      <w:pPr>
        <w:numPr>
          <w:ilvl w:val="0"/>
          <w:numId w:val="1001"/>
        </w:numPr>
      </w:pPr>
      <w:r>
        <w:t xml:space="preserve">글로벌 카드 브랜드사가 부과하는 브랜드 로열티 수수료</w:t>
      </w:r>
    </w:p>
    <w:p>
      <w:pPr>
        <w:numPr>
          <w:ilvl w:val="0"/>
          <w:numId w:val="1001"/>
        </w:numPr>
      </w:pPr>
      <w:r>
        <w:t xml:space="preserve">해외 카드 발급사(Issuing Bank)가 부과하는 해외 이용 수수료</w:t>
      </w:r>
    </w:p>
    <w:p>
      <w:pPr>
        <w:numPr>
          <w:ilvl w:val="0"/>
          <w:numId w:val="1001"/>
        </w:numPr>
      </w:pPr>
      <w:r>
        <w:t xml:space="preserve">현지 통화 결제를 유도하기 위해 발생하는 자국통화결제(DCC) 수수료 및 이에 따른 환전 수수료</w:t>
      </w:r>
    </w:p>
    <w:p>
      <w:pPr>
        <w:pStyle w:val="FirstParagraph"/>
      </w:pPr>
      <w:r>
        <w:t xml:space="preserve">② 회원의 귀책사유, 단순 변심 또는 임대차 계약의 취소·환불 등으로 인하여 플랫폼에 보관 중이던 대금을 해외 거주 회원에게 역송금(반환)해야 할 경우, 다음 각 호의 수수료를 포함하여 발생하는 모든 해외 송금 및 반환 관련 금융 비용은 환불 처리 시점의 총액에서 선공제(차감)된 후 잔액만 지급됩니다.</w:t>
      </w:r>
    </w:p>
    <w:p>
      <w:pPr>
        <w:numPr>
          <w:ilvl w:val="0"/>
          <w:numId w:val="1002"/>
        </w:numPr>
      </w:pPr>
      <w:r>
        <w:t xml:space="preserve">국내외 은행의 글로벌 전신료(Telegraphic Transfer Charge)</w:t>
      </w:r>
    </w:p>
    <w:p>
      <w:pPr>
        <w:numPr>
          <w:ilvl w:val="0"/>
          <w:numId w:val="1002"/>
        </w:numPr>
      </w:pPr>
      <w:r>
        <w:t xml:space="preserve">중개은행 수수료(Intermediary Bank Fee)</w:t>
      </w:r>
    </w:p>
    <w:p>
      <w:pPr>
        <w:numPr>
          <w:ilvl w:val="0"/>
          <w:numId w:val="1002"/>
        </w:numPr>
      </w:pPr>
      <w:r>
        <w:t xml:space="preserve">수취은행 수수료(Receiving Bank Fee) 및 해외 환전 수수료</w:t>
      </w:r>
    </w:p>
    <w:bookmarkEnd w:id="23"/>
    <w:bookmarkStart w:id="24" w:name="제5조-취소-및-환불-시-환율-적용-기준"/>
    <w:p>
      <w:pPr>
        <w:pStyle w:val="Heading3"/>
      </w:pPr>
      <w:r>
        <w:t xml:space="preserve">제5조 (취소 및 환불 시 환율 적용 기준)</w:t>
      </w:r>
    </w:p>
    <w:p>
      <w:pPr>
        <w:pStyle w:val="FirstParagraph"/>
      </w:pPr>
      <w:r>
        <w:t xml:space="preserve">① 회원의 귀책사유나 일방적인 계약 취소로 인해 환불 절차가 진행되는 경우, 환불 금액은 ’최초 결제 시점의 환율’이 아닌 ’회사의 전산 시스템 및 카드사·은행의 취소/환불 처리 시점 환율’을 기준으로 산정됩니다.</w:t>
      </w:r>
    </w:p>
    <w:p>
      <w:pPr>
        <w:pStyle w:val="BodyText"/>
      </w:pPr>
      <w:r>
        <w:t xml:space="preserve">② 제1항의 기준에 따라 환불 시점의 외환 환율이 변동할 경우, 회원이 최초 결제했던 자국 통화 기준 외화 원금과 종국적으로 환불받는 외화 수치 간에 차액(손실)이 발생할 수 있으며, 이로 인한 원금 손실 및 변동 리스크에 대해 회사는 어떠한 법적·재정적 책임도 지지 않습니다.</w:t>
      </w:r>
    </w:p>
    <w:p>
      <w:pPr>
        <w:pStyle w:val="BodyText"/>
      </w:pPr>
      <w:r>
        <w:t xml:space="preserve">③ 크로스보더 결제망 및 해외 카드 발급사의 정산 정책, 국가 간 외환 대행 기관의 사정으로 인해 결제 취소 및 환불 대금의 실제 계좌 반영은 최소 수 영업일에서 최대 수 주일까지 소요될 수 있습니다. 회원은 해당 환불 소요 기간 동안 발생하는 추가적인 글로벌 환율 변동 리스크 역시 본인의 자기책임 하에 전적으로 부담함에 동의합니다.</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2026-09-03T07:29:02Z</dcterms:created>
  <dcterms:modified xsi:type="dcterms:W3CDTF">2026-09-03T07:29:02Z</dcterms:modified>
</cp:coreProperties>
</file>

<file path=docProps/custom.xml><?xml version="1.0" encoding="utf-8"?>
<Properties xmlns="http://schemas.openxmlformats.org/officeDocument/2006/custom-properties" xmlns:vt="http://schemas.openxmlformats.org/officeDocument/2006/docPropsVTypes"/>
</file>