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제11장-미스터리-쇼퍼암행-감시-제도-및-제휴사-징벌적-위약벌-처벌-약관"/>
    <w:p>
      <w:pPr>
        <w:pStyle w:val="Heading1"/>
      </w:pPr>
      <w:r>
        <w:t xml:space="preserve">제11장 미스터리 쇼퍼(암행 감시) 제도 및 제휴사 징벌적 위약벌 처벌 약관</w:t>
      </w:r>
    </w:p>
    <w:bookmarkStart w:id="20" w:name="제1조-목적"/>
    <w:p>
      <w:pPr>
        <w:pStyle w:val="Heading3"/>
      </w:pPr>
      <w:r>
        <w:t xml:space="preserve">제1조 (목적)</w:t>
      </w:r>
    </w:p>
    <w:p>
      <w:pPr>
        <w:pStyle w:val="FirstParagraph"/>
      </w:pPr>
      <w:r>
        <w:t xml:space="preserve">본 약관은 주식회사 나루(이하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)가 운영하는 나루메이트 플랫폼(이하</w:t>
      </w:r>
      <w:r>
        <w:t xml:space="preserve"> </w:t>
      </w:r>
      <w:r>
        <w:t xml:space="preserve">“</w:t>
      </w:r>
      <w:r>
        <w:t xml:space="preserve">플랫폼</w:t>
      </w:r>
      <w:r>
        <w:t xml:space="preserve">”</w:t>
      </w:r>
      <w:r>
        <w:t xml:space="preserve">)의 서비스 신뢰도를 담보하고, B2B 제휴사 및 파트너사(이하</w:t>
      </w:r>
      <w:r>
        <w:t xml:space="preserve"> </w:t>
      </w:r>
      <w:r>
        <w:t xml:space="preserve">“</w:t>
      </w:r>
      <w:r>
        <w:t xml:space="preserve">파트너사</w:t>
      </w:r>
      <w:r>
        <w:t xml:space="preserve">”</w:t>
      </w:r>
      <w:r>
        <w:t xml:space="preserve">)의 부당행위를 상시 감시·예방하여 내·외국인 유저를 안전하게 보호하며, 위반 시의 징벌적 제재 및 소명 절차의 세부 사항을 규정함을 목적으로 합니다. 본 약관에 정하지 아니한 파트너의 의무 및 제재의 종류·수준에 관하여는 「B2B 파트너스 이용약관」을 적용합니다.</w:t>
      </w:r>
    </w:p>
    <w:bookmarkEnd w:id="20"/>
    <w:bookmarkStart w:id="21" w:name="제2조-미스터리-쇼퍼-제도의-운용-근거-및-권한"/>
    <w:p>
      <w:pPr>
        <w:pStyle w:val="Heading3"/>
      </w:pPr>
      <w:r>
        <w:t xml:space="preserve">제2조 (미스터리 쇼퍼 제도의 운용 근거 및 권한)</w:t>
      </w:r>
    </w:p>
    <w:p>
      <w:pPr>
        <w:pStyle w:val="FirstParagraph"/>
      </w:pPr>
      <w:r>
        <w:t xml:space="preserve">①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 플랫폼 전체의 서비스 품질 유지, 건전한 시장 질서 확립 및 유저 보호를 위하여 사전 고지 없이 제3자(전문 조사기관 포함) 또는 내부 인력을 활용한 암행 감시(이하</w:t>
      </w:r>
      <w:r>
        <w:t xml:space="preserve"> </w:t>
      </w:r>
      <w:r>
        <w:t xml:space="preserve">“</w:t>
      </w:r>
      <w:r>
        <w:t xml:space="preserve">미스터리 쇼퍼</w:t>
      </w:r>
      <w:r>
        <w:t xml:space="preserve">”</w:t>
      </w:r>
      <w:r>
        <w:t xml:space="preserve">) 제도를 상시 운용할 수 있는 권한을 가집니다.</w:t>
      </w:r>
    </w:p>
    <w:p>
      <w:pPr>
        <w:pStyle w:val="BodyText"/>
      </w:pPr>
      <w:r>
        <w:t xml:space="preserve">②</w:t>
      </w:r>
      <w:r>
        <w:t xml:space="preserve"> </w:t>
      </w:r>
      <w:r>
        <w:t xml:space="preserve">“</w:t>
      </w:r>
      <w:r>
        <w:t xml:space="preserve">파트너사</w:t>
      </w:r>
      <w:r>
        <w:t xml:space="preserve">”</w:t>
      </w:r>
      <w:r>
        <w:t xml:space="preserve">는 본 계약을 체결함으로써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의</w:t>
      </w:r>
      <w:r>
        <w:t xml:space="preserve"> </w:t>
      </w:r>
      <w:r>
        <w:t xml:space="preserve">“</w:t>
      </w:r>
      <w:r>
        <w:t xml:space="preserve">미스터리 쇼퍼</w:t>
      </w:r>
      <w:r>
        <w:t xml:space="preserve">”</w:t>
      </w:r>
      <w:r>
        <w:t xml:space="preserve"> </w:t>
      </w:r>
      <w:r>
        <w:t xml:space="preserve">운용 권한 및 감시 활동에 조건 없이 동의한 것으로 간주하며, 이를 이유로 영업방해나 손해배상을 청구할 수 없습니다.</w:t>
      </w:r>
    </w:p>
    <w:bookmarkEnd w:id="21"/>
    <w:bookmarkStart w:id="22" w:name="제3조-감시-범위-및-채증-방식의-적법성-승인"/>
    <w:p>
      <w:pPr>
        <w:pStyle w:val="Heading3"/>
      </w:pPr>
      <w:r>
        <w:t xml:space="preserve">제3조 (감시 범위 및 채증 방식의 적법성 승인)</w:t>
      </w:r>
    </w:p>
    <w:p>
      <w:pPr>
        <w:pStyle w:val="FirstParagraph"/>
      </w:pPr>
      <w:r>
        <w:t xml:space="preserve">①</w:t>
      </w:r>
      <w:r>
        <w:t xml:space="preserve"> </w:t>
      </w:r>
      <w:r>
        <w:t xml:space="preserve">“</w:t>
      </w:r>
      <w:r>
        <w:t xml:space="preserve">미스터리 쇼퍼</w:t>
      </w:r>
      <w:r>
        <w:t xml:space="preserve">”</w:t>
      </w:r>
      <w:r>
        <w:t xml:space="preserve">의 점검 대상 범위는</w:t>
      </w:r>
      <w:r>
        <w:t xml:space="preserve"> </w:t>
      </w:r>
      <w:r>
        <w:t xml:space="preserve">“</w:t>
      </w:r>
      <w:r>
        <w:t xml:space="preserve">파트너사</w:t>
      </w:r>
      <w:r>
        <w:t xml:space="preserve">”</w:t>
      </w:r>
      <w:r>
        <w:t xml:space="preserve">가 유저에게 제공하는 초기 상담, 가입 및 계약 유도 절차, 서비스 수행 과정, 최종 청구서 발행 및 사후 관리에 이르기까지 플랫폼과 연계된 모든 온·오프라인 서비스 전 과정을 포함합니다.</w:t>
      </w:r>
    </w:p>
    <w:p>
      <w:pPr>
        <w:pStyle w:val="BodyText"/>
      </w:pPr>
      <w:r>
        <w:t xml:space="preserve">②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 </w:t>
      </w:r>
      <w:r>
        <w:t xml:space="preserve">또는</w:t>
      </w:r>
      <w:r>
        <w:t xml:space="preserve"> </w:t>
      </w:r>
      <w:r>
        <w:t xml:space="preserve">“</w:t>
      </w:r>
      <w:r>
        <w:t xml:space="preserve">미스터리 쇼퍼</w:t>
      </w:r>
      <w:r>
        <w:t xml:space="preserve">”</w:t>
      </w:r>
      <w:r>
        <w:t xml:space="preserve">가 점검 과정에서 적법하게 수합한 현장 녹취록, 메신저 및 이메일 대화 캡처화면, 서면 계약서 및 청구서 사본, 암행 실사 보고서 등의 자료는</w:t>
      </w:r>
      <w:r>
        <w:t xml:space="preserve"> </w:t>
      </w:r>
      <w:r>
        <w:t xml:space="preserve">“</w:t>
      </w:r>
      <w:r>
        <w:t xml:space="preserve">파트너사</w:t>
      </w:r>
      <w:r>
        <w:t xml:space="preserve">”</w:t>
      </w:r>
      <w:r>
        <w:t xml:space="preserve">의 부당행위를 증명하는 유효한 자료로 활용됩니다.</w:t>
      </w:r>
      <w:r>
        <w:t xml:space="preserve"> </w:t>
      </w:r>
      <w:r>
        <w:t xml:space="preserve">“</w:t>
      </w:r>
      <w:r>
        <w:t xml:space="preserve">파트너사</w:t>
      </w:r>
      <w:r>
        <w:t xml:space="preserve">”</w:t>
      </w:r>
      <w:r>
        <w:t xml:space="preserve">는 해당 채증 자료의 활용에 동의하며, 정당한 사유 없이 그 진정성을 다투지 아니합니다.</w:t>
      </w:r>
    </w:p>
    <w:p>
      <w:pPr>
        <w:pStyle w:val="BodyText"/>
      </w:pPr>
      <w:r>
        <w:t xml:space="preserve">③ 제2항에도 불구하고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 『통신비밀보호법』, 『개인정보 보호법』 등 관계 법령에 위반하여 수집된 자료를 제재의 근거로 사용하지 아니합니다.</w:t>
      </w:r>
    </w:p>
    <w:bookmarkEnd w:id="22"/>
    <w:bookmarkStart w:id="23" w:name="제4조-금지-행위-및-부정행위-유형의-정의"/>
    <w:p>
      <w:pPr>
        <w:pStyle w:val="Heading3"/>
      </w:pPr>
      <w:r>
        <w:t xml:space="preserve">제4조 (금지 행위 및 부정행위 유형의 정의)</w:t>
      </w:r>
    </w:p>
    <w:p>
      <w:pPr>
        <w:pStyle w:val="FirstParagraph"/>
      </w:pPr>
      <w:r>
        <w:t xml:space="preserve">①</w:t>
      </w:r>
      <w:r>
        <w:t xml:space="preserve"> </w:t>
      </w:r>
      <w:r>
        <w:t xml:space="preserve">“</w:t>
      </w:r>
      <w:r>
        <w:t xml:space="preserve">파트너사</w:t>
      </w:r>
      <w:r>
        <w:t xml:space="preserve">”</w:t>
      </w:r>
      <w:r>
        <w:t xml:space="preserve">는 서비스를 수행함에 있어 다음 각 호의 행위를 하여서는 아니 되며, 적발 시 본 약관에 따른 전방위적 제재를 받습니다.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외국인 대상 부당 청구 및 바가지 행위:</w:t>
      </w:r>
      <w:r>
        <w:t xml:space="preserve"> </w:t>
      </w:r>
      <w:r>
        <w:t xml:space="preserve">국내 물가나 시장 사정에 어두운 외국인 유저를 기만하여 공식 승인된 요금 체계 외에 명목을 불문한 임의 컨설팅 피(Fee), 급행료, 별도 수수료, 수고비 등을 얹어 청구하거나 수령하는 행위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불법 끼워팔기 및 허위·과장 광고 행위:</w:t>
      </w:r>
      <w:r>
        <w:t xml:space="preserve"> </w:t>
      </w:r>
      <w:r>
        <w:t xml:space="preserve">유저가 원치 않는 부가서비스, 연계 상품(예: 특정 알뜰폰 가입, 불필요한 고가 인터넷 요금제 등)을 필수 가입 사항인 것처럼 속여 강매하거나, 계약 기간 및 위약금 조건을 유저에게 허위·왜곡하여 안내하는 행위</w:t>
      </w:r>
    </w:p>
    <w:p>
      <w:pPr>
        <w:pStyle w:val="FirstParagraph"/>
      </w:pPr>
      <w:r>
        <w:t xml:space="preserve">② 플랫폼 우회 및 사적 정산 유도 행위의 유형 및 그 효과에 관하여는 「B2B 파트너스 이용약관」 제8조를 준용하며,</w:t>
      </w:r>
      <w:r>
        <w:t xml:space="preserve"> </w:t>
      </w:r>
      <w:r>
        <w:t xml:space="preserve">“</w:t>
      </w:r>
      <w:r>
        <w:t xml:space="preserve">미스터리 쇼퍼</w:t>
      </w:r>
      <w:r>
        <w:t xml:space="preserve">”</w:t>
      </w:r>
      <w:r>
        <w:t xml:space="preserve"> </w:t>
      </w:r>
      <w:r>
        <w:t xml:space="preserve">점검을 포함하여 유저와의 소통 중 플랫폼을 거치지 않은 직거래를 제안·종용한 경우에도 같습니다.</w:t>
      </w:r>
    </w:p>
    <w:bookmarkEnd w:id="23"/>
    <w:bookmarkStart w:id="24" w:name="제5조-원스트라이크-아웃-및-계약-해지-조항"/>
    <w:p>
      <w:pPr>
        <w:pStyle w:val="Heading3"/>
      </w:pPr>
      <w:r>
        <w:t xml:space="preserve">제5조 (원스트라이크 아웃 및 계약 해지 조항)</w:t>
      </w:r>
    </w:p>
    <w:p>
      <w:pPr>
        <w:pStyle w:val="FirstParagraph"/>
      </w:pPr>
      <w:r>
        <w:t xml:space="preserve">①</w:t>
      </w:r>
      <w:r>
        <w:t xml:space="preserve"> </w:t>
      </w:r>
      <w:r>
        <w:t xml:space="preserve">“</w:t>
      </w:r>
      <w:r>
        <w:t xml:space="preserve">파트너사</w:t>
      </w:r>
      <w:r>
        <w:t xml:space="preserve">”</w:t>
      </w:r>
      <w:r>
        <w:t xml:space="preserve">가 제4조에서 정한 중대한 부정행위를 저지른 사실이</w:t>
      </w:r>
      <w:r>
        <w:t xml:space="preserve"> </w:t>
      </w:r>
      <w:r>
        <w:t xml:space="preserve">“</w:t>
      </w:r>
      <w:r>
        <w:t xml:space="preserve">미스터리 쇼퍼</w:t>
      </w:r>
      <w:r>
        <w:t xml:space="preserve">”</w:t>
      </w:r>
      <w:r>
        <w:t xml:space="preserve">를 통해 적발된 경우,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 별도의 시정 요구 및 최고 기간 없이 B2B 파트너십 계약을 해지하고 플랫폼에서 영구 퇴출(블랙리스트 등록)할 수 있습니다. 다만 해지 및 퇴출에 앞서 본 약관 제9조에 따른 서면 또는 전자적 통지 및 이의제기 절차를 거쳐야 하며, 자격의 영구 박탈에 관하여는 「B2B 파트너스 이용약관」 제11조 제2항을 함께 적용합니다.</w:t>
      </w:r>
    </w:p>
    <w:p>
      <w:pPr>
        <w:pStyle w:val="BodyText"/>
      </w:pPr>
      <w:r>
        <w:t xml:space="preserve">② 본 조에 따른 계약 해지는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의</w:t>
      </w:r>
      <w:r>
        <w:t xml:space="preserve"> </w:t>
      </w:r>
      <w:r>
        <w:t xml:space="preserve">“</w:t>
      </w:r>
      <w:r>
        <w:t xml:space="preserve">파트너사</w:t>
      </w:r>
      <w:r>
        <w:t xml:space="preserve">”</w:t>
      </w:r>
      <w:r>
        <w:t xml:space="preserve">에 대한 손해배상 청구 및 위약벌 부과에 아무런 영향을 미치지 아니합니다.</w:t>
      </w:r>
    </w:p>
    <w:bookmarkEnd w:id="24"/>
    <w:bookmarkStart w:id="25" w:name="제6조-신규-매칭-중단-및-정산-대금-지급-보류"/>
    <w:p>
      <w:pPr>
        <w:pStyle w:val="Heading3"/>
      </w:pPr>
      <w:r>
        <w:t xml:space="preserve">제6조 (신규 매칭 중단 및 정산 대금 지급 보류)</w:t>
      </w:r>
    </w:p>
    <w:p>
      <w:pPr>
        <w:pStyle w:val="FirstParagraph"/>
      </w:pPr>
      <w:r>
        <w:t xml:space="preserve">①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</w:t>
      </w:r>
      <w:r>
        <w:t xml:space="preserve"> </w:t>
      </w:r>
      <w:r>
        <w:t xml:space="preserve">“</w:t>
      </w:r>
      <w:r>
        <w:t xml:space="preserve">파트너사</w:t>
      </w:r>
      <w:r>
        <w:t xml:space="preserve">”</w:t>
      </w:r>
      <w:r>
        <w:t xml:space="preserve">의 부정행위 징후를 포착하여 조사를 시작하는 시점 또는 적발 즉시 당해</w:t>
      </w:r>
      <w:r>
        <w:t xml:space="preserve"> </w:t>
      </w:r>
      <w:r>
        <w:t xml:space="preserve">“</w:t>
      </w:r>
      <w:r>
        <w:t xml:space="preserve">파트너사</w:t>
      </w:r>
      <w:r>
        <w:t xml:space="preserve">”</w:t>
      </w:r>
      <w:r>
        <w:t xml:space="preserve">에 대한 신규 고객 매칭 및 전산 시스템 접근을 전면 중단할 수 있습니다.</w:t>
      </w:r>
    </w:p>
    <w:p>
      <w:pPr>
        <w:pStyle w:val="BodyText"/>
      </w:pPr>
      <w:r>
        <w:t xml:space="preserve">②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 기 발생한 정산 대금(미지급 대금)의 지급을 조사가 완료되거나 분쟁이 최종 해결될 때까지 잠정 보류할 수 있으며, 해당 보류 자금은 향후 부과될 징벌적 위약벌 및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의 손해배상 채권과 상계할 수 있습니다.</w:t>
      </w:r>
      <w:r>
        <w:t xml:space="preserve"> </w:t>
      </w:r>
      <w:r>
        <w:t xml:space="preserve">“</w:t>
      </w:r>
      <w:r>
        <w:t xml:space="preserve">파트너사</w:t>
      </w:r>
      <w:r>
        <w:t xml:space="preserve">”</w:t>
      </w:r>
      <w:r>
        <w:t xml:space="preserve">는 이에 대해 지연이자를 청구할 수 없습니다.</w:t>
      </w:r>
    </w:p>
    <w:bookmarkEnd w:id="25"/>
    <w:bookmarkStart w:id="26" w:name="제7조-징벌적-위약벌-부과-조항"/>
    <w:p>
      <w:pPr>
        <w:pStyle w:val="Heading3"/>
      </w:pPr>
      <w:r>
        <w:t xml:space="preserve">제7조 (징벌적 위약벌 부과 조항)</w:t>
      </w:r>
    </w:p>
    <w:p>
      <w:pPr>
        <w:pStyle w:val="FirstParagraph"/>
      </w:pPr>
      <w:r>
        <w:t xml:space="preserve">① 제4조의 위반 행위는 나루메이트 플랫폼의 브랜드 가치, 대외적 명예 및 공신력을 훼손하고 생태계를 저해하는 중대한 계약 위반 행위로 간주합니다.</w:t>
      </w:r>
    </w:p>
    <w:p>
      <w:pPr>
        <w:pStyle w:val="BodyText"/>
      </w:pPr>
      <w:r>
        <w:t xml:space="preserve">②</w:t>
      </w:r>
      <w:r>
        <w:t xml:space="preserve"> </w:t>
      </w:r>
      <w:r>
        <w:t xml:space="preserve">“</w:t>
      </w:r>
      <w:r>
        <w:t xml:space="preserve">파트너사</w:t>
      </w:r>
      <w:r>
        <w:t xml:space="preserve">”</w:t>
      </w:r>
      <w:r>
        <w:t xml:space="preserve">에 대한 징벌적 위약벌의 부과 요건 및 금액 산정 기준에 관하여는 「B2B 파트너스 이용약관」 제11조 제1항을 준용하며, 유저의 실제 물질적 손해배상과는 별개로 즉시 현금으로 지급하여야 합니다.</w:t>
      </w:r>
    </w:p>
    <w:bookmarkEnd w:id="26"/>
    <w:bookmarkStart w:id="27" w:name="제8조-실손해-배상-및-구상권-청구"/>
    <w:p>
      <w:pPr>
        <w:pStyle w:val="Heading3"/>
      </w:pPr>
      <w:r>
        <w:t xml:space="preserve">제8조 (실손해 배상 및 구상권 청구)</w:t>
      </w:r>
    </w:p>
    <w:p>
      <w:pPr>
        <w:pStyle w:val="FirstParagraph"/>
      </w:pPr>
      <w:r>
        <w:t xml:space="preserve">①</w:t>
      </w:r>
      <w:r>
        <w:t xml:space="preserve"> </w:t>
      </w:r>
      <w:r>
        <w:t xml:space="preserve">“</w:t>
      </w:r>
      <w:r>
        <w:t xml:space="preserve">파트너사</w:t>
      </w:r>
      <w:r>
        <w:t xml:space="preserve">”</w:t>
      </w:r>
      <w:r>
        <w:t xml:space="preserve">의 귀책사유 및 부정행위로 인하여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가 유저에게 민원 해결을 위한 선보상, 환불, 위로금 등을 대신 지급(대위변제)하였거나, 이로 인해 법적 소송 비용(변호사 선임료, 인지대, 송달료 등)이 발생한 경우,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 지출한 비용 전액을</w:t>
      </w:r>
      <w:r>
        <w:t xml:space="preserve"> </w:t>
      </w:r>
      <w:r>
        <w:t xml:space="preserve">“</w:t>
      </w:r>
      <w:r>
        <w:t xml:space="preserve">파트너사</w:t>
      </w:r>
      <w:r>
        <w:t xml:space="preserve">”</w:t>
      </w:r>
      <w:r>
        <w:t xml:space="preserve">에게 구상 청구할 수 있습니다.</w:t>
      </w:r>
    </w:p>
    <w:p>
      <w:pPr>
        <w:pStyle w:val="BodyText"/>
      </w:pPr>
      <w:r>
        <w:t xml:space="preserve">②</w:t>
      </w:r>
      <w:r>
        <w:t xml:space="preserve"> </w:t>
      </w:r>
      <w:r>
        <w:t xml:space="preserve">“</w:t>
      </w:r>
      <w:r>
        <w:t xml:space="preserve">파트너사</w:t>
      </w:r>
      <w:r>
        <w:t xml:space="preserve">”</w:t>
      </w:r>
      <w:r>
        <w:t xml:space="preserve">는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로부터 구상 청구 서면을 수령한 날로부터 7일 이내에 해당 금액을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가 지정한 법인 계좌로 납부하여야 합니다.</w:t>
      </w:r>
    </w:p>
    <w:bookmarkEnd w:id="27"/>
    <w:bookmarkStart w:id="28" w:name="제9조-이의제기-기한-및-절차"/>
    <w:p>
      <w:pPr>
        <w:pStyle w:val="Heading3"/>
      </w:pPr>
      <w:r>
        <w:t xml:space="preserve">제9조 (이의제기 기한 및 절차)</w:t>
      </w:r>
    </w:p>
    <w:p>
      <w:pPr>
        <w:pStyle w:val="FirstParagraph"/>
      </w:pPr>
      <w:r>
        <w:t xml:space="preserve">①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로부터 미스터리 쇼퍼 적발 사실 및 제재 조치를 통보받은</w:t>
      </w:r>
      <w:r>
        <w:t xml:space="preserve"> </w:t>
      </w:r>
      <w:r>
        <w:t xml:space="preserve">“</w:t>
      </w:r>
      <w:r>
        <w:t xml:space="preserve">파트너사</w:t>
      </w:r>
      <w:r>
        <w:t xml:space="preserve">”</w:t>
      </w:r>
      <w:r>
        <w:t xml:space="preserve">는 통보를 받은 날로부터 30일 이내에 위반 사실이 없음을 입증할 수 있는 객관적인 전산 서류 및 증빙 자료를 첨부하여 서면으로 이의를 제기할 수 있습니다.</w:t>
      </w:r>
    </w:p>
    <w:p>
      <w:pPr>
        <w:pStyle w:val="BodyText"/>
      </w:pPr>
      <w:r>
        <w:t xml:space="preserve">②</w:t>
      </w:r>
      <w:r>
        <w:t xml:space="preserve"> </w:t>
      </w:r>
      <w:r>
        <w:t xml:space="preserve">“</w:t>
      </w:r>
      <w:r>
        <w:t xml:space="preserve">파트너사</w:t>
      </w:r>
      <w:r>
        <w:t xml:space="preserve">”</w:t>
      </w:r>
      <w:r>
        <w:t xml:space="preserve">가 위 기한 내에 이의를 제기하지 아니하거나, 제출된 소명 자료가 위반 사실을 번복하기에 객관적으로 명백히 부족한 경우,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의 제재 조치(계약해지, 영구퇴출, 위약벌 부과 등)는 본 서면 통보로써 최종 확정됩니다.</w:t>
      </w:r>
    </w:p>
    <w:p>
      <w:pPr>
        <w:pStyle w:val="BodyText"/>
      </w:pPr>
      <w:r>
        <w:t xml:space="preserve">③ 본 조는 B2B 파트너에 대한 제재의 통지 및 이의제기 절차에 관하여 B2B 관련 모든 약관에 공통으로 적용되는 기본 조항입니다.</w:t>
      </w:r>
    </w:p>
    <w:bookmarkEnd w:id="28"/>
    <w:bookmarkStart w:id="29" w:name="제10조-조치-결과-공표에-대한-면책"/>
    <w:p>
      <w:pPr>
        <w:pStyle w:val="Heading3"/>
      </w:pPr>
      <w:r>
        <w:t xml:space="preserve">제10조 (조치 결과 공표에 대한 면책)</w:t>
      </w:r>
    </w:p>
    <w:p>
      <w:pPr>
        <w:pStyle w:val="FirstParagraph"/>
      </w:pPr>
      <w:r>
        <w:t xml:space="preserve">①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 플랫폼 생태계의 질서 확립 및 타 제휴사·유저들의 추가 피해 방지를 위하여 부정행위가 확정된</w:t>
      </w:r>
      <w:r>
        <w:t xml:space="preserve"> </w:t>
      </w:r>
      <w:r>
        <w:t xml:space="preserve">“</w:t>
      </w:r>
      <w:r>
        <w:t xml:space="preserve">파트너사</w:t>
      </w:r>
      <w:r>
        <w:t xml:space="preserve">”</w:t>
      </w:r>
      <w:r>
        <w:t xml:space="preserve">의 상호, 위반 사실, 제재 내용 등을 플랫폼 내 공지사항에 게재하거나 타 제휴사 네트워크에 전파할 수 있습니다.</w:t>
      </w:r>
    </w:p>
    <w:p>
      <w:pPr>
        <w:pStyle w:val="BodyText"/>
      </w:pPr>
      <w:r>
        <w:t xml:space="preserve">②</w:t>
      </w:r>
      <w:r>
        <w:t xml:space="preserve"> </w:t>
      </w:r>
      <w:r>
        <w:t xml:space="preserve">“</w:t>
      </w:r>
      <w:r>
        <w:t xml:space="preserve">파트너사</w:t>
      </w:r>
      <w:r>
        <w:t xml:space="preserve">”</w:t>
      </w:r>
      <w:r>
        <w:t xml:space="preserve">는 본 약관의 동의를 근거로,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의 정당한 생태계 정화 공표 행위에 대하여 손해배상 청구 및 민사상 이의를 제기할 수 없으며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 이에 대해 면책됩니다.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val="000000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val="000000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val="000000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val="000000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val="000000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val="000000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val="000000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val="000000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val="000000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val="000000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00000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2026-09-03T07:29:02Z</dcterms:created>
  <dcterms:modified xsi:type="dcterms:W3CDTF">2026-09-03T07:29:02Z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